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124438" w:rsidP="00A81622">
      <w:pPr>
        <w:rPr>
          <w:rFonts w:asciiTheme="majorHAnsi" w:hAnsiTheme="majorHAnsi" w:cstheme="majorHAnsi"/>
          <w:b/>
        </w:rPr>
      </w:pPr>
      <w:r>
        <w:rPr>
          <w:rFonts w:asciiTheme="majorHAnsi" w:hAnsiTheme="majorHAnsi" w:cstheme="majorHAnsi"/>
          <w:b/>
        </w:rPr>
        <w:fldChar w:fldCharType="begin"/>
      </w:r>
      <w:r>
        <w:rPr>
          <w:rFonts w:asciiTheme="majorHAnsi" w:hAnsiTheme="majorHAnsi" w:cstheme="majorHAnsi"/>
          <w:b/>
        </w:rPr>
        <w:instrText xml:space="preserve"> MACROBUTTON MTEditEquationSection2 </w:instrText>
      </w:r>
      <w:r w:rsidRPr="00124438">
        <w:rPr>
          <w:rStyle w:val="MTEquationSection"/>
        </w:rPr>
        <w:instrText>Chapitre d'équation 1 Section 1</w:instrText>
      </w:r>
      <w:r>
        <w:rPr>
          <w:rFonts w:asciiTheme="majorHAnsi" w:hAnsiTheme="majorHAnsi" w:cstheme="majorHAnsi"/>
          <w:b/>
        </w:rPr>
        <w:fldChar w:fldCharType="begin"/>
      </w:r>
      <w:r>
        <w:rPr>
          <w:rFonts w:asciiTheme="majorHAnsi" w:hAnsiTheme="majorHAnsi" w:cstheme="majorHAnsi"/>
          <w:b/>
        </w:rPr>
        <w:instrText xml:space="preserve"> SEQ MTEqn \r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MTSec \r 1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MTChap \r 1 \h \* MERGEFORMAT </w:instrText>
      </w:r>
      <w:r>
        <w:rPr>
          <w:rFonts w:asciiTheme="majorHAnsi" w:hAnsiTheme="majorHAnsi" w:cstheme="majorHAnsi"/>
          <w:b/>
        </w:rPr>
        <w:fldChar w:fldCharType="end"/>
      </w:r>
      <w:r>
        <w:rPr>
          <w:rFonts w:asciiTheme="majorHAnsi" w:hAnsiTheme="majorHAnsi" w:cstheme="majorHAnsi"/>
          <w:b/>
        </w:rPr>
        <w:fldChar w:fldCharType="end"/>
      </w:r>
      <w:r w:rsidR="0051424C" w:rsidRPr="00A81622">
        <w:rPr>
          <w:rFonts w:asciiTheme="majorHAnsi" w:hAnsiTheme="majorHAnsi" w:cstheme="majorHAnsi"/>
          <w:b/>
        </w:rPr>
        <w:t xml:space="preserve">3GPP TSG-RAN WG1 </w:t>
      </w:r>
      <w:r w:rsidR="002A271E">
        <w:rPr>
          <w:rFonts w:asciiTheme="majorHAnsi" w:hAnsiTheme="majorHAnsi" w:cstheme="majorHAnsi"/>
          <w:b/>
        </w:rPr>
        <w:t>#9</w:t>
      </w:r>
      <w:r w:rsidR="00105C99">
        <w:rPr>
          <w:rFonts w:asciiTheme="majorHAnsi" w:hAnsiTheme="majorHAnsi" w:cstheme="majorHAnsi"/>
          <w:b/>
        </w:rPr>
        <w:t>2</w:t>
      </w:r>
      <w:r w:rsidR="00B75729">
        <w:rPr>
          <w:rFonts w:asciiTheme="majorHAnsi" w:hAnsiTheme="majorHAnsi" w:cstheme="majorHAnsi"/>
          <w:b/>
        </w:rPr>
        <w:t>b</w:t>
      </w:r>
      <w:r w:rsidR="003268BA" w:rsidRPr="0073662B">
        <w:rPr>
          <w:rFonts w:asciiTheme="majorHAnsi" w:hAnsiTheme="majorHAnsi" w:cstheme="majorHAnsi"/>
          <w:b/>
        </w:rPr>
        <w:tab/>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hAnsiTheme="majorHAnsi" w:cstheme="majorHAnsi"/>
          <w:b/>
        </w:rPr>
        <w:t xml:space="preserve">      </w:t>
      </w:r>
      <w:r w:rsidR="003268BA" w:rsidRPr="0073662B">
        <w:rPr>
          <w:rFonts w:asciiTheme="majorHAnsi" w:hAnsiTheme="majorHAnsi" w:cstheme="majorHAnsi"/>
          <w:b/>
        </w:rPr>
        <w:tab/>
      </w:r>
      <w:r w:rsidR="002A271E">
        <w:rPr>
          <w:rFonts w:asciiTheme="majorHAnsi" w:hAnsiTheme="majorHAnsi" w:cstheme="majorHAnsi"/>
          <w:b/>
        </w:rPr>
        <w:tab/>
      </w:r>
      <w:r w:rsidR="003268BA" w:rsidRPr="0073662B">
        <w:rPr>
          <w:rFonts w:asciiTheme="majorHAnsi" w:hAnsiTheme="majorHAnsi" w:cstheme="majorHAnsi"/>
          <w:b/>
        </w:rPr>
        <w:t xml:space="preserve">                  </w:t>
      </w:r>
      <w:r w:rsidR="00627A6C" w:rsidRPr="00627A6C">
        <w:rPr>
          <w:rFonts w:asciiTheme="majorHAnsi" w:hAnsiTheme="majorHAnsi" w:cstheme="majorHAnsi"/>
          <w:b/>
        </w:rPr>
        <w:t xml:space="preserve"> </w:t>
      </w:r>
      <w:r w:rsidR="005E34D2" w:rsidRPr="005E34D2">
        <w:rPr>
          <w:rFonts w:asciiTheme="majorHAnsi" w:hAnsiTheme="majorHAnsi" w:cstheme="majorHAnsi"/>
          <w:b/>
        </w:rPr>
        <w:t>R1-1804038</w:t>
      </w:r>
    </w:p>
    <w:p w:rsidR="00CF7042" w:rsidRPr="00A81622" w:rsidRDefault="00B75729" w:rsidP="00CF7042">
      <w:pPr>
        <w:rPr>
          <w:rFonts w:asciiTheme="majorHAnsi" w:eastAsia="MS Mincho" w:hAnsiTheme="majorHAnsi" w:cstheme="majorHAnsi"/>
          <w:b/>
          <w:bCs/>
          <w:sz w:val="28"/>
        </w:rPr>
      </w:pPr>
      <w:r>
        <w:rPr>
          <w:rFonts w:asciiTheme="majorHAnsi" w:hAnsiTheme="majorHAnsi" w:cstheme="majorHAnsi"/>
          <w:b/>
        </w:rPr>
        <w:t>Sanya, China, April 16</w:t>
      </w:r>
      <w:r w:rsidRPr="00A25232">
        <w:rPr>
          <w:rFonts w:asciiTheme="majorHAnsi" w:hAnsiTheme="majorHAnsi" w:cstheme="majorHAnsi"/>
          <w:b/>
          <w:vertAlign w:val="superscript"/>
        </w:rPr>
        <w:t>th</w:t>
      </w:r>
      <w:r>
        <w:rPr>
          <w:rFonts w:asciiTheme="majorHAnsi" w:hAnsiTheme="majorHAnsi" w:cstheme="majorHAnsi"/>
          <w:b/>
        </w:rPr>
        <w:t>-20</w:t>
      </w:r>
      <w:r w:rsidRPr="00F652E7">
        <w:rPr>
          <w:rFonts w:asciiTheme="majorHAnsi" w:hAnsiTheme="majorHAnsi" w:cstheme="majorHAnsi"/>
          <w:b/>
          <w:vertAlign w:val="superscript"/>
        </w:rPr>
        <w:t>th</w:t>
      </w:r>
      <w:r>
        <w:rPr>
          <w:rFonts w:asciiTheme="majorHAnsi" w:hAnsiTheme="majorHAnsi" w:cstheme="majorHAnsi"/>
          <w:b/>
        </w:rPr>
        <w:t xml:space="preserve"> 2018</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2A271E">
        <w:rPr>
          <w:rFonts w:asciiTheme="majorHAnsi" w:eastAsia="MS Gothic" w:hAnsiTheme="majorHAnsi" w:cstheme="majorHAnsi"/>
          <w:noProof w:val="0"/>
          <w:sz w:val="24"/>
        </w:rPr>
        <w:t>Low PAPR SFBC for V2X transmit diversity</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51424C">
        <w:rPr>
          <w:rFonts w:asciiTheme="majorHAnsi" w:eastAsia="MS Gothic" w:hAnsiTheme="majorHAnsi" w:cstheme="majorHAnsi"/>
          <w:noProof w:val="0"/>
          <w:sz w:val="24"/>
        </w:rPr>
        <w:t>6</w:t>
      </w:r>
      <w:r w:rsidR="00145316">
        <w:rPr>
          <w:rFonts w:asciiTheme="majorHAnsi" w:eastAsia="MS Gothic" w:hAnsiTheme="majorHAnsi" w:cstheme="majorHAnsi"/>
          <w:noProof w:val="0"/>
          <w:sz w:val="24"/>
        </w:rPr>
        <w:t>.</w:t>
      </w:r>
      <w:r w:rsidR="00B75729">
        <w:rPr>
          <w:rFonts w:asciiTheme="majorHAnsi" w:eastAsia="MS Gothic" w:hAnsiTheme="majorHAnsi" w:cstheme="majorHAnsi"/>
          <w:noProof w:val="0"/>
          <w:sz w:val="24"/>
        </w:rPr>
        <w:t>2.5</w:t>
      </w:r>
      <w:r w:rsidR="002A271E">
        <w:rPr>
          <w:rFonts w:asciiTheme="majorHAnsi" w:eastAsia="MS Gothic" w:hAnsiTheme="majorHAnsi" w:cstheme="majorHAnsi"/>
          <w:noProof w:val="0"/>
          <w:sz w:val="24"/>
        </w:rPr>
        <w:t>.3.1 Transmit diversity solutions</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Default="00DD4444" w:rsidP="00A81622">
      <w:pPr>
        <w:pStyle w:val="Titre1"/>
      </w:pPr>
      <w:r w:rsidRPr="0073662B">
        <w:t>Introduction</w:t>
      </w:r>
    </w:p>
    <w:p w:rsidR="005C45D1" w:rsidRDefault="00E8270D" w:rsidP="00145316">
      <w:pPr>
        <w:rPr>
          <w:rFonts w:eastAsia="MS Mincho"/>
          <w:iCs/>
          <w:szCs w:val="20"/>
        </w:rPr>
      </w:pPr>
      <w:r>
        <w:rPr>
          <w:rFonts w:eastAsia="MS Mincho"/>
          <w:iCs/>
          <w:szCs w:val="20"/>
        </w:rPr>
        <w:t xml:space="preserve">In the latest RAN1#92 </w:t>
      </w:r>
      <w:r>
        <w:rPr>
          <w:rFonts w:eastAsia="MS Mincho"/>
          <w:iCs/>
          <w:szCs w:val="20"/>
        </w:rPr>
        <w:fldChar w:fldCharType="begin"/>
      </w:r>
      <w:r>
        <w:rPr>
          <w:rFonts w:eastAsia="MS Mincho"/>
          <w:iCs/>
          <w:szCs w:val="20"/>
        </w:rPr>
        <w:instrText xml:space="preserve"> REF _Ref510521092 \r \h </w:instrText>
      </w:r>
      <w:r>
        <w:rPr>
          <w:rFonts w:eastAsia="MS Mincho"/>
          <w:iCs/>
          <w:szCs w:val="20"/>
        </w:rPr>
      </w:r>
      <w:r>
        <w:rPr>
          <w:rFonts w:eastAsia="MS Mincho"/>
          <w:iCs/>
          <w:szCs w:val="20"/>
        </w:rPr>
        <w:fldChar w:fldCharType="separate"/>
      </w:r>
      <w:r>
        <w:rPr>
          <w:rFonts w:eastAsia="MS Mincho"/>
          <w:iCs/>
          <w:szCs w:val="20"/>
        </w:rPr>
        <w:t>[1]</w:t>
      </w:r>
      <w:r>
        <w:rPr>
          <w:rFonts w:eastAsia="MS Mincho"/>
          <w:iCs/>
          <w:szCs w:val="20"/>
        </w:rPr>
        <w:fldChar w:fldCharType="end"/>
      </w:r>
      <w:r>
        <w:rPr>
          <w:rFonts w:eastAsia="MS Mincho"/>
          <w:iCs/>
          <w:szCs w:val="20"/>
        </w:rPr>
        <w:t xml:space="preserve"> there was </w:t>
      </w:r>
      <w:r w:rsidRPr="00E8270D">
        <w:rPr>
          <w:rFonts w:eastAsia="MS Mincho"/>
          <w:i/>
          <w:iCs/>
          <w:szCs w:val="20"/>
        </w:rPr>
        <w:t>no consensus to confirm the working assumption to adopt non-transparent transmit diversity, due to concerns on the impact on Rel-14 UEs with IRC receivers</w:t>
      </w:r>
      <w:r>
        <w:rPr>
          <w:rFonts w:eastAsia="MS Mincho"/>
          <w:iCs/>
          <w:szCs w:val="20"/>
        </w:rPr>
        <w:t xml:space="preserve">. Therefore, the following working assumptions from </w:t>
      </w:r>
      <w:r w:rsidR="005C45D1">
        <w:rPr>
          <w:rFonts w:eastAsia="MS Mincho"/>
          <w:iCs/>
          <w:szCs w:val="20"/>
        </w:rPr>
        <w:t xml:space="preserve">RAN1#91 </w:t>
      </w:r>
      <w:r>
        <w:rPr>
          <w:rFonts w:eastAsia="MS Mincho"/>
          <w:iCs/>
          <w:szCs w:val="20"/>
        </w:rPr>
        <w:fldChar w:fldCharType="begin"/>
      </w:r>
      <w:r>
        <w:rPr>
          <w:rFonts w:eastAsia="MS Mincho"/>
          <w:iCs/>
          <w:szCs w:val="20"/>
        </w:rPr>
        <w:instrText xml:space="preserve"> REF _Ref510521112 \r \h </w:instrText>
      </w:r>
      <w:r>
        <w:rPr>
          <w:rFonts w:eastAsia="MS Mincho"/>
          <w:iCs/>
          <w:szCs w:val="20"/>
        </w:rPr>
      </w:r>
      <w:r>
        <w:rPr>
          <w:rFonts w:eastAsia="MS Mincho"/>
          <w:iCs/>
          <w:szCs w:val="20"/>
        </w:rPr>
        <w:fldChar w:fldCharType="separate"/>
      </w:r>
      <w:r>
        <w:rPr>
          <w:rFonts w:eastAsia="MS Mincho"/>
          <w:iCs/>
          <w:szCs w:val="20"/>
        </w:rPr>
        <w:t>[2]</w:t>
      </w:r>
      <w:r>
        <w:rPr>
          <w:rFonts w:eastAsia="MS Mincho"/>
          <w:iCs/>
          <w:szCs w:val="20"/>
        </w:rPr>
        <w:fldChar w:fldCharType="end"/>
      </w:r>
      <w:r w:rsidR="005C45D1">
        <w:rPr>
          <w:rFonts w:eastAsia="MS Mincho"/>
          <w:iCs/>
          <w:szCs w:val="20"/>
        </w:rPr>
        <w:t xml:space="preserve"> </w:t>
      </w:r>
      <w:r>
        <w:rPr>
          <w:rFonts w:eastAsia="MS Mincho"/>
          <w:iCs/>
          <w:szCs w:val="20"/>
        </w:rPr>
        <w:t>still stand</w:t>
      </w:r>
      <w:r w:rsidR="005C45D1">
        <w:rPr>
          <w:rFonts w:eastAsia="MS Mincho"/>
          <w:iCs/>
          <w:szCs w:val="20"/>
        </w:rPr>
        <w:t>:</w:t>
      </w:r>
    </w:p>
    <w:p w:rsidR="0069002D" w:rsidRPr="00E8270D" w:rsidRDefault="0069002D" w:rsidP="0069002D">
      <w:pPr>
        <w:numPr>
          <w:ilvl w:val="0"/>
          <w:numId w:val="47"/>
        </w:numPr>
        <w:spacing w:after="0"/>
        <w:jc w:val="left"/>
        <w:rPr>
          <w:rFonts w:eastAsia="Yu Mincho"/>
          <w:i/>
          <w:sz w:val="20"/>
          <w:szCs w:val="20"/>
        </w:rPr>
      </w:pPr>
      <w:r w:rsidRPr="00E8270D">
        <w:rPr>
          <w:rFonts w:eastAsia="Yu Mincho"/>
          <w:i/>
          <w:szCs w:val="20"/>
        </w:rPr>
        <w:t xml:space="preserve">Assuming the previous WA of introducing non-transparent transmit diversity is confirmed, for two-port non-transparent transmit diversity for PSSCH, downselect option 1 as WA among the following candidate schemes </w:t>
      </w:r>
    </w:p>
    <w:p w:rsidR="0069002D" w:rsidRPr="00E8270D" w:rsidRDefault="0069002D" w:rsidP="0069002D">
      <w:pPr>
        <w:numPr>
          <w:ilvl w:val="1"/>
          <w:numId w:val="47"/>
        </w:numPr>
        <w:spacing w:after="0"/>
        <w:jc w:val="left"/>
        <w:rPr>
          <w:rFonts w:eastAsia="Yu Mincho"/>
          <w:i/>
          <w:szCs w:val="20"/>
        </w:rPr>
      </w:pPr>
      <w:r w:rsidRPr="00E8270D">
        <w:rPr>
          <w:rFonts w:eastAsia="Yu Mincho"/>
          <w:i/>
          <w:szCs w:val="20"/>
          <w:highlight w:val="darkYellow"/>
        </w:rPr>
        <w:t>Working assumption:</w:t>
      </w:r>
      <w:r w:rsidRPr="00E8270D">
        <w:rPr>
          <w:rFonts w:eastAsia="Yu Mincho"/>
          <w:i/>
          <w:szCs w:val="20"/>
        </w:rPr>
        <w:t xml:space="preserve"> Option 1: SFBC-based scheme (including PAPR preserving)</w:t>
      </w:r>
    </w:p>
    <w:p w:rsidR="0069002D" w:rsidRPr="00E8270D" w:rsidRDefault="0069002D" w:rsidP="0069002D">
      <w:pPr>
        <w:numPr>
          <w:ilvl w:val="2"/>
          <w:numId w:val="47"/>
        </w:numPr>
        <w:spacing w:after="0"/>
        <w:jc w:val="left"/>
        <w:rPr>
          <w:rFonts w:eastAsia="Yu Mincho"/>
          <w:i/>
          <w:szCs w:val="20"/>
        </w:rPr>
      </w:pPr>
      <w:r w:rsidRPr="00E8270D">
        <w:rPr>
          <w:rFonts w:eastAsia="Yu Mincho"/>
          <w:i/>
          <w:szCs w:val="20"/>
        </w:rPr>
        <w:t xml:space="preserve">FFS whether to apply slot-level PVS </w:t>
      </w:r>
    </w:p>
    <w:p w:rsidR="0069002D" w:rsidRPr="00E8270D" w:rsidRDefault="0069002D" w:rsidP="0069002D">
      <w:pPr>
        <w:numPr>
          <w:ilvl w:val="1"/>
          <w:numId w:val="47"/>
        </w:numPr>
        <w:spacing w:after="0"/>
        <w:jc w:val="left"/>
        <w:rPr>
          <w:rFonts w:eastAsia="Yu Mincho"/>
          <w:i/>
          <w:szCs w:val="20"/>
        </w:rPr>
      </w:pPr>
      <w:r w:rsidRPr="00E8270D">
        <w:rPr>
          <w:rFonts w:eastAsia="Yu Mincho"/>
          <w:i/>
          <w:szCs w:val="20"/>
        </w:rPr>
        <w:t>Option 2: STBC-based (including half symbol)</w:t>
      </w:r>
    </w:p>
    <w:p w:rsidR="0069002D" w:rsidRPr="00E8270D" w:rsidRDefault="0069002D" w:rsidP="0069002D">
      <w:pPr>
        <w:rPr>
          <w:rFonts w:eastAsia="Yu Mincho"/>
          <w:i/>
          <w:szCs w:val="20"/>
          <w:lang w:val="en-GB"/>
        </w:rPr>
      </w:pPr>
      <w:r w:rsidRPr="00E8270D">
        <w:rPr>
          <w:rFonts w:eastAsia="Yu Mincho"/>
          <w:i/>
          <w:szCs w:val="20"/>
        </w:rPr>
        <w:t>Note: Companies are encouraged to perform evaluations for the above options</w:t>
      </w:r>
    </w:p>
    <w:p w:rsidR="005C45D1" w:rsidRPr="0069002D" w:rsidRDefault="005C45D1" w:rsidP="00145316">
      <w:pPr>
        <w:rPr>
          <w:rFonts w:eastAsia="MS Mincho"/>
          <w:iCs/>
          <w:szCs w:val="20"/>
          <w:lang w:val="en-GB"/>
        </w:rPr>
      </w:pPr>
    </w:p>
    <w:p w:rsidR="00BB7983" w:rsidRDefault="00145316" w:rsidP="00145316">
      <w:pPr>
        <w:rPr>
          <w:rFonts w:eastAsia="MS Mincho"/>
          <w:iCs/>
          <w:szCs w:val="20"/>
        </w:rPr>
      </w:pPr>
      <w:r w:rsidRPr="00145316">
        <w:rPr>
          <w:rFonts w:eastAsia="MS Mincho"/>
          <w:iCs/>
          <w:szCs w:val="20"/>
        </w:rPr>
        <w:t>In RAN1#90</w:t>
      </w:r>
      <w:r w:rsidR="00BB7983">
        <w:rPr>
          <w:rFonts w:eastAsia="MS Mincho"/>
          <w:iCs/>
          <w:szCs w:val="20"/>
        </w:rPr>
        <w:t>b</w:t>
      </w:r>
      <w:r w:rsidR="005C45D1">
        <w:rPr>
          <w:rFonts w:eastAsia="MS Mincho"/>
          <w:iCs/>
          <w:szCs w:val="20"/>
        </w:rPr>
        <w:t xml:space="preserve"> </w:t>
      </w:r>
      <w:r w:rsidR="005C45D1">
        <w:rPr>
          <w:rFonts w:eastAsia="MS Mincho"/>
          <w:iCs/>
          <w:szCs w:val="20"/>
        </w:rPr>
        <w:fldChar w:fldCharType="begin"/>
      </w:r>
      <w:r w:rsidR="005C45D1">
        <w:rPr>
          <w:rFonts w:eastAsia="MS Mincho"/>
          <w:iCs/>
          <w:szCs w:val="20"/>
        </w:rPr>
        <w:instrText xml:space="preserve"> REF _Ref506373666 \r \h </w:instrText>
      </w:r>
      <w:r w:rsidR="005C45D1">
        <w:rPr>
          <w:rFonts w:eastAsia="MS Mincho"/>
          <w:iCs/>
          <w:szCs w:val="20"/>
        </w:rPr>
      </w:r>
      <w:r w:rsidR="005C45D1">
        <w:rPr>
          <w:rFonts w:eastAsia="MS Mincho"/>
          <w:iCs/>
          <w:szCs w:val="20"/>
        </w:rPr>
        <w:fldChar w:fldCharType="separate"/>
      </w:r>
      <w:r w:rsidR="00E8270D">
        <w:rPr>
          <w:rFonts w:eastAsia="MS Mincho"/>
          <w:iCs/>
          <w:szCs w:val="20"/>
        </w:rPr>
        <w:t>[3]</w:t>
      </w:r>
      <w:r w:rsidR="005C45D1">
        <w:rPr>
          <w:rFonts w:eastAsia="MS Mincho"/>
          <w:iCs/>
          <w:szCs w:val="20"/>
        </w:rPr>
        <w:fldChar w:fldCharType="end"/>
      </w:r>
      <w:r w:rsidR="000E0029">
        <w:rPr>
          <w:rFonts w:eastAsia="MS Mincho"/>
          <w:iCs/>
          <w:szCs w:val="20"/>
        </w:rPr>
        <w:t>, it was decided that</w:t>
      </w:r>
    </w:p>
    <w:p w:rsidR="000E0029" w:rsidRPr="000E0029" w:rsidRDefault="000E0029" w:rsidP="000E0029">
      <w:pPr>
        <w:numPr>
          <w:ilvl w:val="0"/>
          <w:numId w:val="46"/>
        </w:numPr>
        <w:spacing w:after="0"/>
        <w:jc w:val="left"/>
        <w:rPr>
          <w:i/>
        </w:rPr>
      </w:pPr>
      <w:r w:rsidRPr="000E0029">
        <w:rPr>
          <w:i/>
        </w:rPr>
        <w:t>For PSCCH, small delay CDD can be used on PSCCH</w:t>
      </w:r>
    </w:p>
    <w:p w:rsidR="000E0029" w:rsidRPr="000E0029" w:rsidRDefault="000E0029" w:rsidP="000E0029">
      <w:pPr>
        <w:numPr>
          <w:ilvl w:val="1"/>
          <w:numId w:val="46"/>
        </w:numPr>
        <w:spacing w:after="0"/>
        <w:jc w:val="left"/>
        <w:rPr>
          <w:i/>
        </w:rPr>
      </w:pPr>
      <w:r w:rsidRPr="000E0029">
        <w:rPr>
          <w:i/>
        </w:rPr>
        <w:t>FFS whether the cyclic delay value is specified or left for UE implementation</w:t>
      </w:r>
    </w:p>
    <w:p w:rsidR="000E0029" w:rsidRDefault="000E0029" w:rsidP="00145316">
      <w:pPr>
        <w:rPr>
          <w:rFonts w:eastAsia="MS Mincho"/>
          <w:iCs/>
          <w:szCs w:val="20"/>
        </w:rPr>
      </w:pPr>
    </w:p>
    <w:p w:rsidR="0051424C" w:rsidRDefault="0069002D" w:rsidP="00145316">
      <w:pPr>
        <w:rPr>
          <w:rFonts w:eastAsia="MS Mincho"/>
          <w:iCs/>
          <w:szCs w:val="20"/>
        </w:rPr>
      </w:pPr>
      <w:r>
        <w:rPr>
          <w:rFonts w:eastAsia="MS Mincho"/>
          <w:iCs/>
          <w:szCs w:val="20"/>
        </w:rPr>
        <w:t>T</w:t>
      </w:r>
      <w:r w:rsidR="000E0029">
        <w:rPr>
          <w:rFonts w:eastAsia="MS Mincho"/>
          <w:iCs/>
          <w:szCs w:val="20"/>
        </w:rPr>
        <w:t xml:space="preserve">he following </w:t>
      </w:r>
      <w:r w:rsidR="000E0029" w:rsidRPr="0069002D">
        <w:rPr>
          <w:rFonts w:eastAsia="MS Mincho"/>
          <w:iCs/>
          <w:szCs w:val="20"/>
          <w:highlight w:val="darkYellow"/>
        </w:rPr>
        <w:t>working assumption</w:t>
      </w:r>
      <w:r w:rsidR="000E0029">
        <w:rPr>
          <w:rFonts w:eastAsia="MS Mincho"/>
          <w:iCs/>
          <w:szCs w:val="20"/>
        </w:rPr>
        <w:t xml:space="preserve"> reached in RAN1#90 </w:t>
      </w:r>
      <w:r w:rsidR="00145316">
        <w:rPr>
          <w:rFonts w:eastAsia="MS Mincho"/>
          <w:iCs/>
          <w:szCs w:val="20"/>
        </w:rPr>
        <w:t xml:space="preserve">meeting </w:t>
      </w:r>
      <w:r w:rsidR="000E0029">
        <w:rPr>
          <w:rFonts w:eastAsia="MS Mincho"/>
          <w:iCs/>
          <w:szCs w:val="20"/>
        </w:rPr>
        <w:fldChar w:fldCharType="begin"/>
      </w:r>
      <w:r w:rsidR="000E0029">
        <w:rPr>
          <w:rFonts w:eastAsia="MS Mincho"/>
          <w:iCs/>
          <w:szCs w:val="20"/>
        </w:rPr>
        <w:instrText xml:space="preserve"> REF _Ref498549160 \r \h </w:instrText>
      </w:r>
      <w:r w:rsidR="000E0029">
        <w:rPr>
          <w:rFonts w:eastAsia="MS Mincho"/>
          <w:iCs/>
          <w:szCs w:val="20"/>
        </w:rPr>
      </w:r>
      <w:r w:rsidR="000E0029">
        <w:rPr>
          <w:rFonts w:eastAsia="MS Mincho"/>
          <w:iCs/>
          <w:szCs w:val="20"/>
        </w:rPr>
        <w:fldChar w:fldCharType="separate"/>
      </w:r>
      <w:r w:rsidR="00E8270D">
        <w:rPr>
          <w:rFonts w:eastAsia="MS Mincho"/>
          <w:iCs/>
          <w:szCs w:val="20"/>
        </w:rPr>
        <w:t>[4]</w:t>
      </w:r>
      <w:r w:rsidR="000E0029">
        <w:rPr>
          <w:rFonts w:eastAsia="MS Mincho"/>
          <w:iCs/>
          <w:szCs w:val="20"/>
        </w:rPr>
        <w:fldChar w:fldCharType="end"/>
      </w:r>
      <w:r w:rsidR="00E74B84">
        <w:rPr>
          <w:rFonts w:eastAsia="MS Mincho"/>
          <w:iCs/>
          <w:szCs w:val="20"/>
        </w:rPr>
        <w:t xml:space="preserve"> </w:t>
      </w:r>
      <w:r w:rsidR="000E0029">
        <w:rPr>
          <w:rFonts w:eastAsia="MS Mincho"/>
          <w:iCs/>
          <w:szCs w:val="20"/>
        </w:rPr>
        <w:t>still stands</w:t>
      </w:r>
      <w:r w:rsidR="00E74B84">
        <w:rPr>
          <w:rFonts w:eastAsia="MS Mincho"/>
          <w:iCs/>
          <w:szCs w:val="20"/>
        </w:rPr>
        <w:t>:</w:t>
      </w:r>
    </w:p>
    <w:p w:rsidR="00D528CE" w:rsidRPr="00D528CE" w:rsidRDefault="00D528CE" w:rsidP="00D528CE">
      <w:pPr>
        <w:numPr>
          <w:ilvl w:val="0"/>
          <w:numId w:val="44"/>
        </w:numPr>
        <w:tabs>
          <w:tab w:val="left" w:pos="1440"/>
        </w:tabs>
        <w:spacing w:after="0"/>
        <w:jc w:val="left"/>
        <w:rPr>
          <w:rFonts w:eastAsia="MS Mincho"/>
          <w:i/>
        </w:rPr>
      </w:pPr>
      <w:r w:rsidRPr="00D528CE">
        <w:rPr>
          <w:rFonts w:eastAsia="MS Mincho"/>
          <w:i/>
        </w:rPr>
        <w:t>For designing PSSCH, RAN1 assumes the use of two-port non-transparent transmit diversity</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 xml:space="preserve">The use of non-transparent transmit diversity is configured. </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Details, including diversity scheme, are FFS</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Support of transmission and/or reception up to UE capability</w:t>
      </w:r>
    </w:p>
    <w:p w:rsidR="00D528CE" w:rsidRPr="00D528CE" w:rsidRDefault="00D528CE" w:rsidP="00D528CE">
      <w:pPr>
        <w:numPr>
          <w:ilvl w:val="2"/>
          <w:numId w:val="44"/>
        </w:numPr>
        <w:tabs>
          <w:tab w:val="left" w:pos="1440"/>
        </w:tabs>
        <w:spacing w:after="0"/>
        <w:jc w:val="left"/>
        <w:rPr>
          <w:rFonts w:eastAsia="MS Mincho"/>
          <w:i/>
        </w:rPr>
      </w:pPr>
      <w:r w:rsidRPr="00D528CE">
        <w:rPr>
          <w:rFonts w:eastAsia="MS Mincho"/>
          <w:i/>
        </w:rPr>
        <w:t>Note: It is RAN1 understanding that requirements on capabilities can be set at regional level and are outside 3GPP scope</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Send LS to RAN4 to ask their opinion about when non-transparent scheme for transmit diversity is used by Rel-15 UEs:</w:t>
      </w:r>
    </w:p>
    <w:p w:rsidR="00D528CE" w:rsidRPr="00D528CE" w:rsidRDefault="00D528CE" w:rsidP="00D528CE">
      <w:pPr>
        <w:numPr>
          <w:ilvl w:val="2"/>
          <w:numId w:val="44"/>
        </w:numPr>
        <w:tabs>
          <w:tab w:val="left" w:pos="1440"/>
        </w:tabs>
        <w:spacing w:after="0"/>
        <w:jc w:val="left"/>
        <w:rPr>
          <w:rFonts w:eastAsia="MS Mincho"/>
          <w:i/>
        </w:rPr>
      </w:pPr>
      <w:r w:rsidRPr="00D528CE">
        <w:rPr>
          <w:rFonts w:eastAsia="MS Mincho"/>
          <w:i/>
        </w:rPr>
        <w:t>Impact on Rel-14 UEs of PSSCH-RSRP measurement accuracy</w:t>
      </w:r>
    </w:p>
    <w:p w:rsidR="00D528CE" w:rsidRPr="00D528CE" w:rsidRDefault="00D528CE" w:rsidP="00D528CE">
      <w:pPr>
        <w:numPr>
          <w:ilvl w:val="2"/>
          <w:numId w:val="44"/>
        </w:numPr>
        <w:tabs>
          <w:tab w:val="left" w:pos="1440"/>
        </w:tabs>
        <w:spacing w:after="0"/>
        <w:jc w:val="left"/>
        <w:rPr>
          <w:rFonts w:eastAsia="MS Mincho"/>
          <w:i/>
        </w:rPr>
      </w:pPr>
      <w:r w:rsidRPr="00D528CE">
        <w:rPr>
          <w:rFonts w:eastAsia="MS Mincho"/>
          <w:i/>
        </w:rPr>
        <w:t>MPR for Rel-15 UEs</w:t>
      </w:r>
    </w:p>
    <w:p w:rsidR="00D528CE" w:rsidRPr="00D528CE" w:rsidRDefault="00D528CE" w:rsidP="00D528CE">
      <w:pPr>
        <w:numPr>
          <w:ilvl w:val="0"/>
          <w:numId w:val="44"/>
        </w:numPr>
        <w:tabs>
          <w:tab w:val="left" w:pos="1440"/>
        </w:tabs>
        <w:spacing w:after="0"/>
        <w:jc w:val="left"/>
        <w:rPr>
          <w:rFonts w:eastAsia="MS Mincho"/>
          <w:i/>
        </w:rPr>
      </w:pPr>
      <w:r w:rsidRPr="00D528CE">
        <w:rPr>
          <w:rFonts w:eastAsia="MS Mincho"/>
          <w:i/>
        </w:rPr>
        <w:t>Non-transparent Transmit diversity is not used in the following cases:</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When communicating with Rel-14 UEs</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When there is a high probability of resource collision with Rel-14 UEs</w:t>
      </w:r>
    </w:p>
    <w:p w:rsidR="00D528CE" w:rsidRPr="00D528CE" w:rsidRDefault="00D528CE" w:rsidP="00D528CE">
      <w:pPr>
        <w:numPr>
          <w:ilvl w:val="0"/>
          <w:numId w:val="44"/>
        </w:numPr>
        <w:tabs>
          <w:tab w:val="left" w:pos="1440"/>
        </w:tabs>
        <w:spacing w:after="0"/>
        <w:jc w:val="left"/>
        <w:rPr>
          <w:rFonts w:eastAsia="MS Mincho"/>
          <w:i/>
        </w:rPr>
      </w:pPr>
      <w:r w:rsidRPr="00D528CE">
        <w:rPr>
          <w:rFonts w:eastAsia="MS Mincho"/>
          <w:i/>
        </w:rPr>
        <w:t>Note: Some companies observe that the performance of MMSE-IRC receiver degrades when a non-transparent Transmit diversity scheme is used in interference limited scenarios with a dominant interferer</w:t>
      </w:r>
    </w:p>
    <w:p w:rsidR="00F3534C" w:rsidRPr="0073662B" w:rsidRDefault="00F3534C" w:rsidP="00A30BCD"/>
    <w:p w:rsidR="00D528CE" w:rsidRDefault="00CC2771" w:rsidP="0051424C">
      <w:r>
        <w:t>W</w:t>
      </w:r>
      <w:r w:rsidR="002B4B53" w:rsidRPr="0073662B">
        <w:t xml:space="preserve">hen applying transmit diversity techniques to DFTsOFDM, special care must be taken for preserving the low PAPR characteristics of this waveform. </w:t>
      </w:r>
      <w:r w:rsidR="00D528CE">
        <w:t>Note that similar discussions took place in the past meetings for both PUSCH and PUCCH transmit diversity f</w:t>
      </w:r>
      <w:r w:rsidR="00D710F7">
        <w:t xml:space="preserve">or NR, where similar candidate schemes were extensively evaluated </w:t>
      </w:r>
      <w:r w:rsidR="00C31C7B">
        <w:fldChar w:fldCharType="begin"/>
      </w:r>
      <w:r w:rsidR="00C31C7B">
        <w:instrText xml:space="preserve"> REF _Ref494384543 \r \h </w:instrText>
      </w:r>
      <w:r w:rsidR="00C31C7B">
        <w:fldChar w:fldCharType="separate"/>
      </w:r>
      <w:r w:rsidR="00E8270D">
        <w:t>[5]</w:t>
      </w:r>
      <w:r w:rsidR="00C31C7B">
        <w:fldChar w:fldCharType="end"/>
      </w:r>
      <w:r w:rsidR="00C31C7B">
        <w:fldChar w:fldCharType="begin"/>
      </w:r>
      <w:r w:rsidR="00C31C7B">
        <w:instrText xml:space="preserve"> REF _Ref494384545 \r \h </w:instrText>
      </w:r>
      <w:r w:rsidR="00C31C7B">
        <w:fldChar w:fldCharType="separate"/>
      </w:r>
      <w:r w:rsidR="00E8270D">
        <w:t>[6]</w:t>
      </w:r>
      <w:r w:rsidR="00C31C7B">
        <w:fldChar w:fldCharType="end"/>
      </w:r>
      <w:r w:rsidR="00C31C7B">
        <w:fldChar w:fldCharType="begin"/>
      </w:r>
      <w:r w:rsidR="00C31C7B">
        <w:instrText xml:space="preserve"> REF _Ref494384547 \r \h </w:instrText>
      </w:r>
      <w:r w:rsidR="00C31C7B">
        <w:fldChar w:fldCharType="separate"/>
      </w:r>
      <w:r w:rsidR="00E8270D">
        <w:t>[7]</w:t>
      </w:r>
      <w:r w:rsidR="00C31C7B">
        <w:fldChar w:fldCharType="end"/>
      </w:r>
      <w:r w:rsidR="00C31C7B">
        <w:fldChar w:fldCharType="begin"/>
      </w:r>
      <w:r w:rsidR="00C31C7B">
        <w:instrText xml:space="preserve"> REF _Ref494384549 \r \h </w:instrText>
      </w:r>
      <w:r w:rsidR="00C31C7B">
        <w:fldChar w:fldCharType="separate"/>
      </w:r>
      <w:r w:rsidR="00E8270D">
        <w:t>[8]</w:t>
      </w:r>
      <w:r w:rsidR="00C31C7B">
        <w:fldChar w:fldCharType="end"/>
      </w:r>
      <w:r w:rsidR="00C31C7B">
        <w:t xml:space="preserve">, and where the discussion on transmit diversity </w:t>
      </w:r>
      <w:r w:rsidR="00E8270D">
        <w:t>was</w:t>
      </w:r>
      <w:r w:rsidR="003F487B">
        <w:t xml:space="preserve"> postponed until after the critical corrections for the</w:t>
      </w:r>
      <w:r w:rsidR="00C31C7B">
        <w:t xml:space="preserve"> early-drop NR specifications </w:t>
      </w:r>
      <w:r w:rsidR="003F487B">
        <w:t>are made</w:t>
      </w:r>
      <w:r w:rsidR="00D710F7">
        <w:t>.</w:t>
      </w:r>
    </w:p>
    <w:p w:rsidR="00DA2C74" w:rsidRDefault="002B4B53" w:rsidP="0051424C">
      <w:r w:rsidRPr="0073662B">
        <w:lastRenderedPageBreak/>
        <w:t xml:space="preserve">In this contribution, we show how PAPR preserving </w:t>
      </w:r>
      <w:r w:rsidR="00C31C7B">
        <w:t xml:space="preserve">SFBC </w:t>
      </w:r>
      <w:r w:rsidRPr="0073662B">
        <w:t xml:space="preserve">transmit diversity </w:t>
      </w:r>
      <w:r w:rsidR="00C31C7B">
        <w:t xml:space="preserve">(SC-SFBC) </w:t>
      </w:r>
      <w:r w:rsidRPr="0073662B">
        <w:t>can be achieved for DFTsOFDM.</w:t>
      </w:r>
      <w:r w:rsidR="00C31C7B">
        <w:t xml:space="preserve"> Simulation results </w:t>
      </w:r>
      <w:r w:rsidR="000C305B">
        <w:t xml:space="preserve">previously provided in </w:t>
      </w:r>
      <w:r w:rsidR="000C305B">
        <w:fldChar w:fldCharType="begin"/>
      </w:r>
      <w:r w:rsidR="000C305B">
        <w:instrText xml:space="preserve"> REF _Ref494386233 \r \h </w:instrText>
      </w:r>
      <w:r w:rsidR="000C305B">
        <w:fldChar w:fldCharType="separate"/>
      </w:r>
      <w:r w:rsidR="000C305B">
        <w:t>[9]</w:t>
      </w:r>
      <w:r w:rsidR="000C305B">
        <w:fldChar w:fldCharType="end"/>
      </w:r>
      <w:r w:rsidR="000C305B">
        <w:t xml:space="preserve"> </w:t>
      </w:r>
      <w:r w:rsidR="00C31C7B">
        <w:t xml:space="preserve">are </w:t>
      </w:r>
      <w:r w:rsidR="000C305B">
        <w:t>updated</w:t>
      </w:r>
      <w:r w:rsidR="00C31C7B">
        <w:t xml:space="preserve"> in the companion contribution</w:t>
      </w:r>
      <w:r w:rsidR="000C305B">
        <w:t xml:space="preserve"> </w:t>
      </w:r>
      <w:r w:rsidR="000C305B">
        <w:fldChar w:fldCharType="begin"/>
      </w:r>
      <w:r w:rsidR="000C305B">
        <w:instrText xml:space="preserve"> REF _Ref510533688 \r \h </w:instrText>
      </w:r>
      <w:r w:rsidR="000C305B">
        <w:fldChar w:fldCharType="separate"/>
      </w:r>
      <w:r w:rsidR="000C305B">
        <w:t>[10]</w:t>
      </w:r>
      <w:r w:rsidR="000C305B">
        <w:fldChar w:fldCharType="end"/>
      </w:r>
      <w:bookmarkStart w:id="0" w:name="_GoBack"/>
      <w:bookmarkEnd w:id="0"/>
      <w:r w:rsidR="00C31C7B">
        <w:t>.</w:t>
      </w:r>
      <w:r w:rsidR="000E0029">
        <w:t xml:space="preserve"> This contribution is revised from </w:t>
      </w:r>
      <w:r w:rsidR="00E8270D" w:rsidRPr="005E34D2">
        <w:t>R1-1802250</w:t>
      </w:r>
      <w:r w:rsidR="000E0029">
        <w:t>.</w:t>
      </w:r>
    </w:p>
    <w:p w:rsidR="00A81622" w:rsidRPr="0073662B" w:rsidRDefault="00A81622" w:rsidP="00A81622">
      <w:pPr>
        <w:pBdr>
          <w:bottom w:val="single" w:sz="12" w:space="1" w:color="auto"/>
        </w:pBdr>
      </w:pPr>
    </w:p>
    <w:p w:rsidR="00EA0674" w:rsidRPr="0073662B" w:rsidRDefault="00A73861" w:rsidP="00A81622">
      <w:pPr>
        <w:pStyle w:val="Titre1"/>
      </w:pPr>
      <w:r>
        <w:t xml:space="preserve">Discussion on </w:t>
      </w:r>
      <w:r w:rsidR="00F66680" w:rsidRPr="0073662B">
        <w:t>diversity-based transmission for</w:t>
      </w:r>
      <w:r w:rsidR="002B4B53" w:rsidRPr="0073662B">
        <w:t xml:space="preserve"> DFTsOFDM</w:t>
      </w:r>
    </w:p>
    <w:p w:rsidR="00AB53DB" w:rsidRDefault="00BD3F81" w:rsidP="00A81622">
      <w:r>
        <w:t>In the contribution we</w:t>
      </w:r>
      <w:r w:rsidR="00A44684" w:rsidRPr="0073662B">
        <w:t xml:space="preserve"> investigate the following candidate techniques: </w:t>
      </w:r>
      <w:r w:rsidR="00A73861">
        <w:t xml:space="preserve">PAPR preserving SC-SFBC, other </w:t>
      </w:r>
      <w:r w:rsidR="00A44684" w:rsidRPr="0073662B">
        <w:t>A</w:t>
      </w:r>
      <w:r w:rsidR="00A73861">
        <w:t>lamouti-based transmit diversity schemes</w:t>
      </w:r>
      <w:r w:rsidR="00A44684" w:rsidRPr="0073662B">
        <w:t xml:space="preserve">, short delay CDD, </w:t>
      </w:r>
      <w:r>
        <w:t xml:space="preserve">and different types of </w:t>
      </w:r>
      <w:r w:rsidR="00A73861">
        <w:t>precoder vector switching in the time domain.</w:t>
      </w:r>
      <w:r w:rsidR="00A44684" w:rsidRPr="0073662B">
        <w:t xml:space="preserve"> </w:t>
      </w:r>
    </w:p>
    <w:p w:rsidR="003B78F4" w:rsidRPr="0073662B" w:rsidRDefault="003B78F4" w:rsidP="00A81622"/>
    <w:p w:rsidR="00965FE1" w:rsidRPr="0073662B" w:rsidRDefault="00965FE1" w:rsidP="003B78F4">
      <w:pPr>
        <w:pStyle w:val="Titre2"/>
      </w:pPr>
      <w:r w:rsidRPr="0073662B">
        <w:t>PAPR preserving SFBC</w:t>
      </w:r>
      <w:r w:rsidR="00C047F9">
        <w:t xml:space="preserve"> (SC-SFBC)</w:t>
      </w:r>
    </w:p>
    <w:p w:rsidR="00965FE1" w:rsidRPr="0073662B" w:rsidRDefault="00E74F8A" w:rsidP="00965FE1">
      <w:r w:rsidRPr="0073662B">
        <w:t xml:space="preserve">PAPR-preserving SFBC has already been discussed in the literature </w:t>
      </w:r>
      <w:r w:rsidR="005D3AA1">
        <w:fldChar w:fldCharType="begin"/>
      </w:r>
      <w:r w:rsidR="005D3AA1">
        <w:instrText xml:space="preserve"> REF _Ref468984773 \r \h  \* MERGEFORMAT </w:instrText>
      </w:r>
      <w:r w:rsidR="005D3AA1">
        <w:fldChar w:fldCharType="separate"/>
      </w:r>
      <w:r w:rsidR="00E8270D">
        <w:t>[11]</w:t>
      </w:r>
      <w:r w:rsidR="005D3AA1">
        <w:fldChar w:fldCharType="end"/>
      </w:r>
      <w:r w:rsidR="00CC2771">
        <w:t xml:space="preserve"> and thoroughly </w:t>
      </w:r>
      <w:r w:rsidR="00A73861">
        <w:t xml:space="preserve">discussed in NR sessions </w:t>
      </w:r>
      <w:r w:rsidR="00A73861">
        <w:fldChar w:fldCharType="begin"/>
      </w:r>
      <w:r w:rsidR="00A73861">
        <w:instrText xml:space="preserve"> REF _Ref494384543 \r \h </w:instrText>
      </w:r>
      <w:r w:rsidR="00A73861">
        <w:fldChar w:fldCharType="separate"/>
      </w:r>
      <w:r w:rsidR="00E8270D">
        <w:t>[5]</w:t>
      </w:r>
      <w:r w:rsidR="00A73861">
        <w:fldChar w:fldCharType="end"/>
      </w:r>
      <w:r w:rsidRPr="00A73861">
        <w:t xml:space="preserve">. </w:t>
      </w:r>
      <w:r w:rsidRPr="003B78F4">
        <w:t>Alamouti precoding is applied at subcarrier level, after DFT precoding</w:t>
      </w:r>
      <w:r w:rsidR="00BD3F81" w:rsidRPr="003B78F4">
        <w:t xml:space="preserve">, </w:t>
      </w:r>
      <w:r w:rsidRPr="003B78F4">
        <w:t xml:space="preserve">as it can be seen in </w:t>
      </w:r>
      <w:r w:rsidR="005D3AA1">
        <w:fldChar w:fldCharType="begin"/>
      </w:r>
      <w:r w:rsidR="005D3AA1" w:rsidRPr="003B78F4">
        <w:instrText xml:space="preserve"> REF _Ref468985453 \h  \* MERGEFORMAT </w:instrText>
      </w:r>
      <w:r w:rsidR="005D3AA1">
        <w:fldChar w:fldCharType="separate"/>
      </w:r>
      <w:r w:rsidR="00E8270D" w:rsidRPr="0073662B">
        <w:t xml:space="preserve">Figure </w:t>
      </w:r>
      <w:r w:rsidR="00E8270D">
        <w:t>1</w:t>
      </w:r>
      <w:r w:rsidR="005D3AA1">
        <w:fldChar w:fldCharType="end"/>
      </w:r>
      <w:r w:rsidRPr="003B78F4">
        <w:t xml:space="preserve">. </w:t>
      </w:r>
      <w:r w:rsidRPr="0073662B">
        <w:t>Alamouti precoded symbols can be mapped onto non-adjacent subcarriers</w:t>
      </w:r>
      <w:r w:rsidR="00BD3F81" w:rsidRPr="0073662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8.55pt" o:ole="">
            <v:imagedata r:id="rId8" o:title=""/>
          </v:shape>
          <o:OLEObject Type="Embed" ProgID="Equation.DSMT4" ShapeID="_x0000_i1025" DrawAspect="Content" ObjectID="_1584276216" r:id="rId9"/>
        </w:object>
      </w:r>
      <w:r w:rsidR="00BD3F81" w:rsidRPr="0073662B">
        <w:t xml:space="preserve">and </w:t>
      </w:r>
      <w:r w:rsidR="00BD3F81" w:rsidRPr="0073662B">
        <w:rPr>
          <w:position w:val="-14"/>
        </w:rPr>
        <w:object w:dxaOrig="2280" w:dyaOrig="400">
          <v:shape id="_x0000_i1026" type="#_x0000_t75" style="width:113.95pt;height:21.65pt" o:ole="">
            <v:imagedata r:id="rId10" o:title=""/>
          </v:shape>
          <o:OLEObject Type="Embed" ProgID="Equation.DSMT4" ShapeID="_x0000_i1026" DrawAspect="Content" ObjectID="_1584276217" r:id="rId11"/>
        </w:object>
      </w:r>
      <w:r w:rsidRPr="0073662B">
        <w:t xml:space="preserve"> in such a way that PAPR is </w:t>
      </w:r>
      <w:r w:rsidR="00EA4BE5" w:rsidRPr="0073662B">
        <w:t>pre</w:t>
      </w:r>
      <w:r w:rsidRPr="0073662B">
        <w:t>served</w:t>
      </w:r>
      <w:r w:rsidR="00BD3F81">
        <w:t xml:space="preserve">, as in </w:t>
      </w:r>
      <w:r w:rsidR="005D3AA1">
        <w:fldChar w:fldCharType="begin"/>
      </w:r>
      <w:r w:rsidR="005D3AA1">
        <w:instrText xml:space="preserve"> REF _Ref468985465 \h  \* MERGEFORMAT </w:instrText>
      </w:r>
      <w:r w:rsidR="005D3AA1">
        <w:fldChar w:fldCharType="separate"/>
      </w:r>
      <w:r w:rsidR="00E8270D" w:rsidRPr="0073662B">
        <w:t xml:space="preserve">Figure </w:t>
      </w:r>
      <w:r w:rsidR="00E8270D">
        <w:t>2</w:t>
      </w:r>
      <w:r w:rsidR="005D3AA1">
        <w:fldChar w:fldCharType="end"/>
      </w:r>
      <w:r w:rsidR="0041189B" w:rsidRPr="0073662B">
        <w:t xml:space="preserve">. </w:t>
      </w:r>
      <w:r w:rsidR="0041189B" w:rsidRPr="0073662B">
        <w:rPr>
          <w:i/>
        </w:rPr>
        <w:t>M</w:t>
      </w:r>
      <w:r w:rsidR="0041189B" w:rsidRPr="0073662B">
        <w:t xml:space="preserve"> is the number of allocated subcarriers (DFT precoder size) and </w:t>
      </w:r>
      <w:r w:rsidR="0041189B" w:rsidRPr="0073662B">
        <w:rPr>
          <w:i/>
        </w:rPr>
        <w:t>p</w:t>
      </w:r>
      <w:r w:rsidR="0041189B" w:rsidRPr="0073662B">
        <w:t xml:space="preserve"> is an even integer, usually chosen as closes</w:t>
      </w:r>
      <w:r w:rsidR="00970589" w:rsidRPr="0073662B">
        <w:t>t</w:t>
      </w:r>
      <w:r w:rsidR="0041189B" w:rsidRPr="0073662B">
        <w:t xml:space="preserve"> possible to </w:t>
      </w:r>
      <w:r w:rsidR="0041189B" w:rsidRPr="0073662B">
        <w:rPr>
          <w:i/>
        </w:rPr>
        <w:t>M</w:t>
      </w:r>
      <w:r w:rsidR="0041189B" w:rsidRPr="0073662B">
        <w:t xml:space="preserve">/2 to minimize the distance between subcarriers carrying Alamouti precoded pairs. This PAPR-preserving SFBC is called SC-SFBC </w:t>
      </w:r>
      <w:r w:rsidR="005D3AA1">
        <w:fldChar w:fldCharType="begin"/>
      </w:r>
      <w:r w:rsidR="005D3AA1">
        <w:instrText xml:space="preserve"> REF _Ref468984773 \r \h  \* MERGEFORMAT </w:instrText>
      </w:r>
      <w:r w:rsidR="005D3AA1">
        <w:fldChar w:fldCharType="separate"/>
      </w:r>
      <w:r w:rsidR="00E8270D">
        <w:t>[11]</w:t>
      </w:r>
      <w:r w:rsidR="005D3AA1">
        <w:fldChar w:fldCharType="end"/>
      </w:r>
      <w:r w:rsidR="0041189B" w:rsidRPr="0073662B">
        <w:t>.</w:t>
      </w:r>
    </w:p>
    <w:p w:rsidR="0041189B" w:rsidRPr="0073662B" w:rsidRDefault="0049738E" w:rsidP="0041189B">
      <w:r w:rsidRPr="0073662B">
        <w:t xml:space="preserve">The scheme is further detailed in </w:t>
      </w:r>
      <w:r w:rsidR="005D3AA1">
        <w:fldChar w:fldCharType="begin"/>
      </w:r>
      <w:r w:rsidR="005D3AA1">
        <w:instrText xml:space="preserve"> REF _Ref473730707 \h  \* MERGEFORMAT </w:instrText>
      </w:r>
      <w:r w:rsidR="005D3AA1">
        <w:fldChar w:fldCharType="separate"/>
      </w:r>
      <w:r w:rsidR="00E8270D" w:rsidRPr="0073662B">
        <w:t xml:space="preserve">Figure </w:t>
      </w:r>
      <w:r w:rsidR="00E8270D">
        <w:rPr>
          <w:noProof/>
        </w:rPr>
        <w:t>6</w:t>
      </w:r>
      <w:r w:rsidR="005D3AA1">
        <w:fldChar w:fldCharType="end"/>
      </w:r>
      <w:r w:rsidR="00513046" w:rsidRPr="0073662B">
        <w:t xml:space="preserve"> from Annex A, in an example with </w:t>
      </w:r>
      <w:r w:rsidR="00513046" w:rsidRPr="0073662B">
        <w:rPr>
          <w:i/>
        </w:rPr>
        <w:t>M</w:t>
      </w:r>
      <w:r w:rsidR="00513046" w:rsidRPr="0073662B">
        <w:t xml:space="preserve">=12 and </w:t>
      </w:r>
      <w:r w:rsidR="00513046" w:rsidRPr="0073662B">
        <w:rPr>
          <w:i/>
        </w:rPr>
        <w:t>p</w:t>
      </w:r>
      <w:r w:rsidR="00513046" w:rsidRPr="0073662B">
        <w:t xml:space="preserve">=6. </w:t>
      </w:r>
      <w:r w:rsidR="0041189B" w:rsidRPr="0073662B">
        <w:t>In the frequency domain, this corresponds to sending on the second antenna port:</w:t>
      </w:r>
    </w:p>
    <w:p w:rsidR="00E74F8A" w:rsidRPr="0073662B" w:rsidRDefault="0041189B" w:rsidP="00124438">
      <w:pPr>
        <w:pStyle w:val="Textebrut"/>
        <w:ind w:left="1440" w:firstLine="720"/>
        <w:jc w:val="right"/>
      </w:pPr>
      <w:r w:rsidRPr="0073662B">
        <w:rPr>
          <w:position w:val="-14"/>
        </w:rPr>
        <w:object w:dxaOrig="3940" w:dyaOrig="400">
          <v:shape id="_x0000_i1027" type="#_x0000_t75" style="width:195.7pt;height:21.65pt" o:ole="">
            <v:imagedata r:id="rId12" o:title=""/>
          </v:shape>
          <o:OLEObject Type="Embed" ProgID="Equation.DSMT4" ShapeID="_x0000_i1027" DrawAspect="Content" ObjectID="_1584276218" r:id="rId13"/>
        </w:object>
      </w:r>
      <w:r w:rsidR="00124438">
        <w:tab/>
      </w:r>
      <w:r w:rsidR="00124438">
        <w:tab/>
      </w:r>
      <w:r w:rsidR="00124438">
        <w:tab/>
      </w:r>
      <w:r w:rsidR="00124438">
        <w:tab/>
      </w:r>
      <w:r w:rsidR="00124438">
        <w:fldChar w:fldCharType="begin"/>
      </w:r>
      <w:r w:rsidR="00124438">
        <w:instrText xml:space="preserve"> MACROBUTTON MTPlaceRef \* MERGEFORMAT </w:instrText>
      </w:r>
      <w:r w:rsidR="00124438">
        <w:fldChar w:fldCharType="begin"/>
      </w:r>
      <w:r w:rsidR="00124438">
        <w:instrText xml:space="preserve"> SEQ MTEqn \h \* MERGEFORMAT </w:instrText>
      </w:r>
      <w:r w:rsidR="00124438">
        <w:fldChar w:fldCharType="end"/>
      </w:r>
      <w:r w:rsidR="00124438">
        <w:instrText>(</w:instrText>
      </w:r>
      <w:r w:rsidR="00E25743">
        <w:fldChar w:fldCharType="begin"/>
      </w:r>
      <w:r w:rsidR="00E25743">
        <w:instrText xml:space="preserve"> SEQ MTEqn \c \* Arabic \* MERGEFORMAT </w:instrText>
      </w:r>
      <w:r w:rsidR="00E25743">
        <w:fldChar w:fldCharType="separate"/>
      </w:r>
      <w:r w:rsidR="00E8270D">
        <w:rPr>
          <w:noProof/>
        </w:rPr>
        <w:instrText>1</w:instrText>
      </w:r>
      <w:r w:rsidR="00E25743">
        <w:rPr>
          <w:noProof/>
        </w:rPr>
        <w:fldChar w:fldCharType="end"/>
      </w:r>
      <w:r w:rsidR="00124438">
        <w:instrText>)</w:instrText>
      </w:r>
      <w:r w:rsidR="00124438">
        <w:fldChar w:fldCharType="end"/>
      </w:r>
    </w:p>
    <w:p w:rsidR="00513046" w:rsidRPr="0073662B" w:rsidRDefault="002D60EA" w:rsidP="00965FE1">
      <w:r>
        <w:t>w</w:t>
      </w:r>
      <w:r w:rsidR="0041189B" w:rsidRPr="0073662B">
        <w:t>here</w:t>
      </w:r>
      <w:r w:rsidR="00513046" w:rsidRPr="0073662B">
        <w:t xml:space="preserve"> </w:t>
      </w:r>
      <w:r w:rsidR="0041189B" w:rsidRPr="0073662B">
        <w:t xml:space="preserve">vector </w:t>
      </w:r>
      <w:r w:rsidR="00513046" w:rsidRPr="0073662B">
        <w:rPr>
          <w:position w:val="-12"/>
        </w:rPr>
        <w:object w:dxaOrig="1300" w:dyaOrig="360">
          <v:shape id="_x0000_i1028" type="#_x0000_t75" style="width:65.35pt;height:18.55pt" o:ole="">
            <v:imagedata r:id="rId14" o:title=""/>
          </v:shape>
          <o:OLEObject Type="Embed" ProgID="Equation.DSMT4" ShapeID="_x0000_i1028" DrawAspect="Content" ObjectID="_1584276219" r:id="rId15"/>
        </w:object>
      </w:r>
      <w:r w:rsidR="0041189B" w:rsidRPr="0073662B">
        <w:t xml:space="preserve"> represents a block of DFT precoded modulation symbols </w:t>
      </w:r>
      <w:r w:rsidR="00513046" w:rsidRPr="0073662B">
        <w:rPr>
          <w:b/>
        </w:rPr>
        <w:t>x</w:t>
      </w:r>
      <w:r w:rsidR="00513046" w:rsidRPr="0073662B">
        <w:t xml:space="preserve"> </w:t>
      </w:r>
      <w:r w:rsidR="0041189B" w:rsidRPr="0073662B">
        <w:t xml:space="preserve">which will be mapped as is onto the first antenna port. This is a DFTsOFDM signal. Since complex conjugation, time reversing, cyclic shifting and sign alternation </w:t>
      </w:r>
      <w:r w:rsidR="00501E73" w:rsidRPr="0073662B">
        <w:t xml:space="preserve">applied in the frequency domain </w:t>
      </w:r>
      <w:r w:rsidR="0041189B" w:rsidRPr="0073662B">
        <w:t>are PAPR preserving operations</w:t>
      </w:r>
      <w:r w:rsidR="00501E73" w:rsidRPr="0073662B">
        <w:t xml:space="preserve"> with respect to the time-domain signal</w:t>
      </w:r>
      <w:r w:rsidR="0041189B" w:rsidRPr="0073662B">
        <w:t xml:space="preserve">, the resulting signal transmitted on the second antenna port has the same PAPR as the original signal. </w:t>
      </w:r>
      <w:r w:rsidR="00513046" w:rsidRPr="0073662B">
        <w:t xml:space="preserve">Indeed, this is equivalent to sending on the second antenna a DFTsOFDM signal corresponding to an equivalent constellation </w:t>
      </w:r>
      <w:r w:rsidR="00513046" w:rsidRPr="0073662B">
        <w:rPr>
          <w:position w:val="-10"/>
        </w:rPr>
        <w:object w:dxaOrig="660" w:dyaOrig="320">
          <v:shape id="_x0000_i1029" type="#_x0000_t75" style="width:33.15pt;height:15.9pt" o:ole="">
            <v:imagedata r:id="rId16" o:title=""/>
          </v:shape>
          <o:OLEObject Type="Embed" ProgID="Equation.DSMT4" ShapeID="_x0000_i1029" DrawAspect="Content" ObjectID="_1584276220" r:id="rId17"/>
        </w:object>
      </w:r>
      <w:r w:rsidR="00513046" w:rsidRPr="0073662B">
        <w:t xml:space="preserve"> with</w:t>
      </w:r>
    </w:p>
    <w:p w:rsidR="00513046" w:rsidRPr="0073662B" w:rsidRDefault="00513046" w:rsidP="00513046">
      <w:pPr>
        <w:pStyle w:val="MTDisplayEquation"/>
      </w:pPr>
      <w:r w:rsidRPr="0073662B">
        <w:tab/>
      </w:r>
      <w:r w:rsidRPr="0073662B">
        <w:rPr>
          <w:position w:val="-16"/>
        </w:rPr>
        <w:object w:dxaOrig="4400" w:dyaOrig="520">
          <v:shape id="_x0000_i1030" type="#_x0000_t75" style="width:220.4pt;height:26.05pt" o:ole="">
            <v:imagedata r:id="rId18" o:title=""/>
          </v:shape>
          <o:OLEObject Type="Embed" ProgID="Equation.DSMT4" ShapeID="_x0000_i1030" DrawAspect="Content" ObjectID="_1584276221" r:id="rId19"/>
        </w:object>
      </w:r>
      <w:r w:rsidRPr="0073662B">
        <w:t>.</w:t>
      </w:r>
      <w:r w:rsidR="00124438">
        <w:tab/>
      </w:r>
      <w:r w:rsidR="00124438">
        <w:fldChar w:fldCharType="begin"/>
      </w:r>
      <w:r w:rsidR="00124438">
        <w:instrText xml:space="preserve"> MACROBUTTON MTPlaceRef \* MERGEFORMAT </w:instrText>
      </w:r>
      <w:r w:rsidR="00124438">
        <w:fldChar w:fldCharType="begin"/>
      </w:r>
      <w:r w:rsidR="00124438">
        <w:instrText xml:space="preserve"> SEQ MTEqn \h \* MERGEFORMAT </w:instrText>
      </w:r>
      <w:r w:rsidR="00124438">
        <w:fldChar w:fldCharType="end"/>
      </w:r>
      <w:bookmarkStart w:id="1" w:name="ZEqnNum312678"/>
      <w:r w:rsidR="00124438">
        <w:instrText>(</w:instrText>
      </w:r>
      <w:r w:rsidR="00E25743">
        <w:fldChar w:fldCharType="begin"/>
      </w:r>
      <w:r w:rsidR="00E25743">
        <w:instrText xml:space="preserve"> SEQ MTEqn \c \* Arabic \* MERGEFORMAT </w:instrText>
      </w:r>
      <w:r w:rsidR="00E25743">
        <w:fldChar w:fldCharType="separate"/>
      </w:r>
      <w:r w:rsidR="00E8270D">
        <w:rPr>
          <w:noProof/>
        </w:rPr>
        <w:instrText>2</w:instrText>
      </w:r>
      <w:r w:rsidR="00E25743">
        <w:rPr>
          <w:noProof/>
        </w:rPr>
        <w:fldChar w:fldCharType="end"/>
      </w:r>
      <w:r w:rsidR="00124438">
        <w:instrText>)</w:instrText>
      </w:r>
      <w:bookmarkEnd w:id="1"/>
      <w:r w:rsidR="00124438">
        <w:fldChar w:fldCharType="end"/>
      </w:r>
    </w:p>
    <w:p w:rsidR="00513046" w:rsidRPr="0073662B" w:rsidRDefault="005D3AA1" w:rsidP="00513046">
      <w:r>
        <w:fldChar w:fldCharType="begin"/>
      </w:r>
      <w:r>
        <w:instrText xml:space="preserve"> REF _Ref473731266 \h  \* MERGEFORMAT </w:instrText>
      </w:r>
      <w:r>
        <w:fldChar w:fldCharType="separate"/>
      </w:r>
      <w:r w:rsidR="00E8270D" w:rsidRPr="0073662B">
        <w:t xml:space="preserve">Figure </w:t>
      </w:r>
      <w:r w:rsidR="00E8270D">
        <w:rPr>
          <w:noProof/>
        </w:rPr>
        <w:t>7</w:t>
      </w:r>
      <w:r>
        <w:fldChar w:fldCharType="end"/>
      </w:r>
      <w:r w:rsidR="001927A9" w:rsidRPr="0073662B">
        <w:t xml:space="preserve"> in Annex A exemplifies an equivalent time-domain representation of the PAPR preserving SFBC with </w:t>
      </w:r>
      <w:r w:rsidR="001927A9" w:rsidRPr="0073662B">
        <w:rPr>
          <w:i/>
        </w:rPr>
        <w:t>M</w:t>
      </w:r>
      <w:r w:rsidR="001927A9" w:rsidRPr="0073662B">
        <w:t xml:space="preserve">=12 and </w:t>
      </w:r>
      <w:r w:rsidR="001927A9" w:rsidRPr="0073662B">
        <w:rPr>
          <w:i/>
        </w:rPr>
        <w:t>p</w:t>
      </w:r>
      <w:r w:rsidR="001927A9" w:rsidRPr="0073662B">
        <w:t>=6. Please note that such an equivalent representation is meant for explaining the DFTsOFDM nature of the signal to be sent on the 2</w:t>
      </w:r>
      <w:r w:rsidR="001927A9" w:rsidRPr="0073662B">
        <w:rPr>
          <w:vertAlign w:val="superscript"/>
        </w:rPr>
        <w:t>nd</w:t>
      </w:r>
      <w:r w:rsidR="001927A9" w:rsidRPr="0073662B">
        <w:t xml:space="preserve"> transmit antenna and it is not proposed for practical implementation, since it is more complex that the frequency domain implementation shown in </w:t>
      </w:r>
      <w:r>
        <w:fldChar w:fldCharType="begin"/>
      </w:r>
      <w:r>
        <w:instrText xml:space="preserve"> REF _Ref468985453 \h  \* MERGEFORMAT </w:instrText>
      </w:r>
      <w:r>
        <w:fldChar w:fldCharType="separate"/>
      </w:r>
      <w:r w:rsidR="00E8270D" w:rsidRPr="0073662B">
        <w:t xml:space="preserve">Figure </w:t>
      </w:r>
      <w:r w:rsidR="00E8270D">
        <w:t>1</w:t>
      </w:r>
      <w:r>
        <w:fldChar w:fldCharType="end"/>
      </w:r>
      <w:r w:rsidR="001927A9" w:rsidRPr="0073662B">
        <w:t>/</w:t>
      </w:r>
      <w:r>
        <w:fldChar w:fldCharType="begin"/>
      </w:r>
      <w:r>
        <w:instrText xml:space="preserve"> REF _Ref473730707 \h  \* MERGEFORMAT </w:instrText>
      </w:r>
      <w:r>
        <w:fldChar w:fldCharType="separate"/>
      </w:r>
      <w:r w:rsidR="00E8270D" w:rsidRPr="0073662B">
        <w:t xml:space="preserve">Figure </w:t>
      </w:r>
      <w:r w:rsidR="00E8270D">
        <w:rPr>
          <w:noProof/>
        </w:rPr>
        <w:t>6</w:t>
      </w:r>
      <w:r>
        <w:fldChar w:fldCharType="end"/>
      </w:r>
      <w:r w:rsidR="001927A9" w:rsidRPr="0073662B">
        <w:t xml:space="preserve">. </w:t>
      </w:r>
    </w:p>
    <w:p w:rsidR="00CD7218" w:rsidRDefault="00CD7218" w:rsidP="00CD7218">
      <w:r w:rsidRPr="0073662B">
        <w:t>It is obvious that complex conjugation, cyclic shift or phase ramp applied in the time domain conserve the peak to average power ratio of the input constellation and that the signal on the 2</w:t>
      </w:r>
      <w:r w:rsidRPr="0073662B">
        <w:rPr>
          <w:vertAlign w:val="superscript"/>
        </w:rPr>
        <w:t>nd</w:t>
      </w:r>
      <w:r w:rsidRPr="0073662B">
        <w:t xml:space="preserve"> transmit antenna is a DFTsOFDM signal with the same PAPR as the one on the 1</w:t>
      </w:r>
      <w:r w:rsidRPr="0073662B">
        <w:rPr>
          <w:vertAlign w:val="superscript"/>
        </w:rPr>
        <w:t>st</w:t>
      </w:r>
      <w:r w:rsidRPr="0073662B">
        <w:t xml:space="preserve"> transmit antenna. This is verified in </w:t>
      </w:r>
      <w:r>
        <w:fldChar w:fldCharType="begin"/>
      </w:r>
      <w:r>
        <w:instrText xml:space="preserve"> REF _Ref494387326 \h </w:instrText>
      </w:r>
      <w:r>
        <w:fldChar w:fldCharType="separate"/>
      </w:r>
      <w:r w:rsidR="00E8270D">
        <w:t xml:space="preserve">Figure </w:t>
      </w:r>
      <w:r w:rsidR="00E8270D">
        <w:rPr>
          <w:noProof/>
        </w:rPr>
        <w:t>3</w:t>
      </w:r>
      <w:r>
        <w:fldChar w:fldCharType="end"/>
      </w:r>
      <w:r>
        <w:t xml:space="preserve"> </w:t>
      </w:r>
      <w:r w:rsidRPr="0073662B">
        <w:t>where the CCDF of the instantaneous normalized power is plotted for DFTsOFDM with STBC, SFBC and the PAPR preserving SC-SFBC.</w:t>
      </w:r>
    </w:p>
    <w:p w:rsidR="00CD7218" w:rsidRPr="00BD3F81" w:rsidRDefault="00CD7218" w:rsidP="00CD7218">
      <w:r>
        <w:t xml:space="preserve">At the receiver side, SC-SFBC detection is completely equivalent to SFBC detection: only the subcarrier mapping is changed. Precoding onto non-adjacent subcarriers may cause some interference only for large allocated bands and on highly selective channel. This interference is successfully mitigated by a MMSE receiver with low implementation complexity. </w:t>
      </w:r>
    </w:p>
    <w:p w:rsidR="0041189B" w:rsidRPr="0073662B" w:rsidRDefault="0041189B" w:rsidP="00965FE1"/>
    <w:p w:rsidR="00E74F8A" w:rsidRPr="0073662B" w:rsidRDefault="00E863EF" w:rsidP="0041189B">
      <w:pPr>
        <w:keepNext/>
        <w:jc w:val="center"/>
      </w:pPr>
      <w:r>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D528CE" w:rsidRPr="00E13757" w:rsidRDefault="00D528CE"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" fillcolor="white [3201]" strokecolor="white [3212]" strokeweight=".5pt">
                <v:path arrowok="t"/>
                <v:textbox>
                  <w:txbxContent>
                    <w:p w:rsidR="00D528CE" w:rsidRPr="00E13757" w:rsidRDefault="00D528CE"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706120</wp:posOffset>
                </wp:positionH>
                <wp:positionV relativeFrom="paragraph">
                  <wp:posOffset>1195705</wp:posOffset>
                </wp:positionV>
                <wp:extent cx="263525" cy="255905"/>
                <wp:effectExtent l="0" t="0" r="22225"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525" cy="25590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B9BCF3" id="Rectangle 10" o:spid="_x0000_s1026" style="position:absolute;margin-left:55.6pt;margin-top:94.15pt;width:20.75pt;height:2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" fillcolor="white [3212]" strokecolor="white [3212]" strokeweight="2pt">
                <v:path arrowok="t"/>
              </v:rect>
            </w:pict>
          </mc:Fallback>
        </mc:AlternateContent>
      </w:r>
      <w:r w:rsidR="00E74F8A" w:rsidRPr="0073662B">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Pr="0073662B" w:rsidRDefault="00E74F8A" w:rsidP="00E74F8A">
      <w:pPr>
        <w:pStyle w:val="Lgende"/>
      </w:pPr>
      <w:bookmarkStart w:id="2" w:name="_Ref468985453"/>
      <w:r w:rsidRPr="0073662B">
        <w:t xml:space="preserve">Figure </w:t>
      </w:r>
      <w:fldSimple w:instr=" SEQ Figure \* ARABIC ">
        <w:r w:rsidR="00E8270D">
          <w:rPr>
            <w:noProof/>
          </w:rPr>
          <w:t>1</w:t>
        </w:r>
      </w:fldSimple>
      <w:bookmarkEnd w:id="2"/>
      <w:r w:rsidRPr="0073662B">
        <w:t xml:space="preserve"> </w:t>
      </w:r>
      <w:r w:rsidR="00E13757" w:rsidRPr="0073662B">
        <w:t xml:space="preserve">- </w:t>
      </w:r>
      <w:r w:rsidRPr="0073662B">
        <w:t xml:space="preserve">SFBC for DFTsOFDM </w:t>
      </w:r>
    </w:p>
    <w:p w:rsidR="00E74F8A" w:rsidRPr="0073662B" w:rsidRDefault="00E74F8A" w:rsidP="00965FE1"/>
    <w:p w:rsidR="00E74F8A" w:rsidRPr="0073662B" w:rsidRDefault="00E74F8A" w:rsidP="0041189B">
      <w:pPr>
        <w:jc w:val="center"/>
      </w:pPr>
      <w:r w:rsidRPr="0073662B">
        <w:rPr>
          <w:noProof/>
          <w:lang w:val="fr-FR" w:eastAsia="fr-FR"/>
        </w:rPr>
        <w:drawing>
          <wp:inline distT="0" distB="0" distL="0" distR="0">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cstate="print"/>
                    <a:stretch>
                      <a:fillRect/>
                    </a:stretch>
                  </pic:blipFill>
                  <pic:spPr>
                    <a:xfrm>
                      <a:off x="0" y="0"/>
                      <a:ext cx="4561200" cy="1270800"/>
                    </a:xfrm>
                    <a:prstGeom prst="rect">
                      <a:avLst/>
                    </a:prstGeom>
                  </pic:spPr>
                </pic:pic>
              </a:graphicData>
            </a:graphic>
          </wp:inline>
        </w:drawing>
      </w:r>
    </w:p>
    <w:p w:rsidR="00A81622" w:rsidRPr="0073662B" w:rsidRDefault="00E74F8A" w:rsidP="00E74F8A">
      <w:pPr>
        <w:pStyle w:val="Lgende"/>
      </w:pPr>
      <w:bookmarkStart w:id="3" w:name="_Ref468985465"/>
      <w:r w:rsidRPr="0073662B">
        <w:t xml:space="preserve">Figure </w:t>
      </w:r>
      <w:fldSimple w:instr=" SEQ Figure \* ARABIC ">
        <w:r w:rsidR="00E8270D">
          <w:rPr>
            <w:noProof/>
          </w:rPr>
          <w:t>2</w:t>
        </w:r>
      </w:fldSimple>
      <w:bookmarkEnd w:id="3"/>
      <w:r w:rsidR="00E13757" w:rsidRPr="0073662B">
        <w:t xml:space="preserve"> - </w:t>
      </w:r>
      <w:r w:rsidR="00501E73" w:rsidRPr="0073662B">
        <w:t xml:space="preserve">Mapping of Alamouti pairs </w:t>
      </w:r>
      <w:r w:rsidRPr="0073662B">
        <w:t>to subcarriers for PAPR preserving SFBC in DFTsOFDM</w:t>
      </w:r>
    </w:p>
    <w:p w:rsidR="00BD3F81" w:rsidRPr="0073662B" w:rsidRDefault="00BD3F81" w:rsidP="001927A9"/>
    <w:p w:rsidR="00BD3F81" w:rsidRDefault="0041189B" w:rsidP="00BD3F81">
      <w:pPr>
        <w:pStyle w:val="Lgende"/>
        <w:keepNext/>
        <w:jc w:val="center"/>
      </w:pPr>
      <w:r w:rsidRPr="0073662B">
        <w:rPr>
          <w:noProof/>
          <w:lang w:val="fr-FR" w:eastAsia="fr-FR"/>
        </w:rPr>
        <w:drawing>
          <wp:inline distT="0" distB="0" distL="0" distR="0">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41189B" w:rsidRDefault="00BD3F81" w:rsidP="00BD3F81">
      <w:pPr>
        <w:pStyle w:val="Lgende"/>
        <w:jc w:val="center"/>
      </w:pPr>
      <w:bookmarkStart w:id="4" w:name="_Ref494387326"/>
      <w:r>
        <w:t xml:space="preserve">Figure </w:t>
      </w:r>
      <w:fldSimple w:instr=" SEQ Figure \* ARABIC ">
        <w:r w:rsidR="00E8270D">
          <w:rPr>
            <w:noProof/>
          </w:rPr>
          <w:t>3</w:t>
        </w:r>
      </w:fldSimple>
      <w:bookmarkEnd w:id="4"/>
      <w:r w:rsidRPr="0073662B">
        <w:t xml:space="preserve">- PAPR of PAPR-preserving </w:t>
      </w:r>
      <w:r>
        <w:t>SC-</w:t>
      </w:r>
      <w:r w:rsidRPr="0073662B">
        <w:t>SFBC in DFTsOFDM</w:t>
      </w:r>
      <w:r>
        <w:t xml:space="preserve"> with QPSK</w:t>
      </w:r>
    </w:p>
    <w:p w:rsidR="00BD3F81" w:rsidRDefault="00DC1EC2" w:rsidP="000826B4">
      <w:pPr>
        <w:rPr>
          <w:i/>
        </w:rPr>
      </w:pPr>
      <w:r w:rsidRPr="0073662B">
        <w:rPr>
          <w:b/>
        </w:rPr>
        <w:t>Observation</w:t>
      </w:r>
      <w:r w:rsidRPr="0073662B">
        <w:t xml:space="preserve">: </w:t>
      </w:r>
      <w:r w:rsidR="00277E2E">
        <w:rPr>
          <w:i/>
        </w:rPr>
        <w:t>SC-SFBC has the following advantages:</w:t>
      </w:r>
    </w:p>
    <w:p w:rsidR="00BD3F81" w:rsidRPr="00BD3F81" w:rsidRDefault="00BD3F81" w:rsidP="00BD3F81">
      <w:pPr>
        <w:pStyle w:val="Paragraphedeliste"/>
        <w:numPr>
          <w:ilvl w:val="0"/>
          <w:numId w:val="43"/>
        </w:numPr>
        <w:ind w:leftChars="0"/>
      </w:pPr>
      <w:r w:rsidRPr="00BD3F81">
        <w:rPr>
          <w:i/>
        </w:rPr>
        <w:t>PAPR preserving for all constellation types</w:t>
      </w:r>
      <w:r w:rsidR="00A73861">
        <w:rPr>
          <w:i/>
        </w:rPr>
        <w:t xml:space="preserve">, </w:t>
      </w:r>
    </w:p>
    <w:p w:rsidR="00BD3F81" w:rsidRPr="00BD3F81" w:rsidRDefault="00DC1EC2" w:rsidP="00BD3F81">
      <w:pPr>
        <w:pStyle w:val="Paragraphedeliste"/>
        <w:numPr>
          <w:ilvl w:val="0"/>
          <w:numId w:val="43"/>
        </w:numPr>
        <w:ind w:leftChars="0"/>
      </w:pPr>
      <w:r w:rsidRPr="00BD3F81">
        <w:rPr>
          <w:i/>
        </w:rPr>
        <w:t xml:space="preserve">operating on single symbol DFTsOFDM, </w:t>
      </w:r>
    </w:p>
    <w:p w:rsidR="00BD3F81" w:rsidRPr="00BD3F81" w:rsidRDefault="00DC1EC2" w:rsidP="00BD3F81">
      <w:pPr>
        <w:pStyle w:val="Paragraphedeliste"/>
        <w:numPr>
          <w:ilvl w:val="0"/>
          <w:numId w:val="43"/>
        </w:numPr>
        <w:ind w:leftChars="0"/>
      </w:pPr>
      <w:r w:rsidRPr="00BD3F81">
        <w:rPr>
          <w:i/>
        </w:rPr>
        <w:t>full diversity achieving</w:t>
      </w:r>
      <w:r w:rsidR="00C319B4" w:rsidRPr="00BD3F81">
        <w:rPr>
          <w:i/>
        </w:rPr>
        <w:t>,</w:t>
      </w:r>
      <w:r w:rsidRPr="00BD3F81">
        <w:rPr>
          <w:i/>
        </w:rPr>
        <w:t xml:space="preserve"> </w:t>
      </w:r>
    </w:p>
    <w:p w:rsidR="00C80102" w:rsidRPr="00257034" w:rsidRDefault="00DC1EC2" w:rsidP="00BD3F81">
      <w:pPr>
        <w:pStyle w:val="Paragraphedeliste"/>
        <w:numPr>
          <w:ilvl w:val="0"/>
          <w:numId w:val="43"/>
        </w:numPr>
        <w:ind w:leftChars="0"/>
      </w:pPr>
      <w:r w:rsidRPr="00BD3F81">
        <w:rPr>
          <w:i/>
        </w:rPr>
        <w:t>with low-complexity frequency-domain decoding at subcarrier level.</w:t>
      </w:r>
    </w:p>
    <w:p w:rsidR="003B78F4" w:rsidRPr="00257034" w:rsidRDefault="003B78F4" w:rsidP="00257034"/>
    <w:p w:rsidR="000826B4" w:rsidRDefault="00A73861" w:rsidP="003B78F4">
      <w:pPr>
        <w:pStyle w:val="Titre2"/>
      </w:pPr>
      <w:r>
        <w:lastRenderedPageBreak/>
        <w:t>Other Alamouti-based schemes</w:t>
      </w:r>
    </w:p>
    <w:p w:rsidR="00A73861" w:rsidRDefault="00A73861" w:rsidP="00A73861">
      <w:r w:rsidRPr="0073662B">
        <w:t xml:space="preserve">Alamouti-based schemes </w:t>
      </w:r>
      <w:r>
        <w:t xml:space="preserve">such as classical STBC and SFBC </w:t>
      </w:r>
      <w:r w:rsidRPr="0073662B">
        <w:t xml:space="preserve">are full diversity and are easily combined with OFDM-based waveforms: when applied at subcarrier level (between subcarriers within the same (SFBC) or within different (STBC) DFTsOFDM symbols), low complexity MMSE detection can be employed on couples of subcarriers involved in Alamouti precoding. Classical STBC (among successive DFTsOFDM symbols) and classical SFBC (among consecutive subcarriers within a DFTsOFDM) display some drawbacks </w:t>
      </w:r>
    </w:p>
    <w:p w:rsidR="005315A5" w:rsidRDefault="005315A5" w:rsidP="00A73861">
      <w:r>
        <w:t xml:space="preserve">Classical SFBC is known to beak the PAPR of DFTsOFDM. As can be seen in </w:t>
      </w:r>
      <w:r>
        <w:fldChar w:fldCharType="begin"/>
      </w:r>
      <w:r>
        <w:instrText xml:space="preserve"> REF _Ref494387326 \h </w:instrText>
      </w:r>
      <w:r>
        <w:fldChar w:fldCharType="separate"/>
      </w:r>
      <w:r w:rsidR="00E8270D">
        <w:t xml:space="preserve">Figure </w:t>
      </w:r>
      <w:r w:rsidR="00E8270D">
        <w:rPr>
          <w:noProof/>
        </w:rPr>
        <w:t>3</w:t>
      </w:r>
      <w:r>
        <w:fldChar w:fldCharType="end"/>
      </w:r>
      <w:r>
        <w:t xml:space="preserve">, loss can be as high as 0.9dB for QPSK. Slightly lower loss is </w:t>
      </w:r>
      <w:r w:rsidR="00F12B7C">
        <w:t>observed for higher modulation orders.</w:t>
      </w:r>
    </w:p>
    <w:p w:rsidR="00A73861" w:rsidRDefault="00A73861" w:rsidP="00A73861">
      <w:r>
        <w:t xml:space="preserve">Classical STBC suffers from the orphan symbol problem: precoding in the time domain involves two DFTsOFDM symbols that need to cross the same channel. This renders STBC non-applicable in some scenarios such as sTTI with odd number of symbols, or in combination with frequency hopping having odd number of OFDM symbols per hop. Moreover, STBC suffers from robustness loss at high speed (partly mitigated through MMSE detection), which is particularly sensitive in V2X scenarios. </w:t>
      </w:r>
    </w:p>
    <w:p w:rsidR="00796A07" w:rsidRDefault="00F12B7C" w:rsidP="000826B4">
      <w:r>
        <w:t xml:space="preserve">Modified STBC scheme allows processing within a single DFTsOFDM symbol. </w:t>
      </w:r>
      <w:r w:rsidR="00217FBC" w:rsidRPr="0073662B">
        <w:t xml:space="preserve">Split-symbol STBC </w:t>
      </w:r>
      <w:r w:rsidR="002134B6">
        <w:fldChar w:fldCharType="begin"/>
      </w:r>
      <w:r w:rsidR="002134B6">
        <w:instrText xml:space="preserve"> REF _Ref492574046 \r \h </w:instrText>
      </w:r>
      <w:r w:rsidR="002134B6">
        <w:fldChar w:fldCharType="separate"/>
      </w:r>
      <w:r w:rsidR="00E8270D">
        <w:t>[12]</w:t>
      </w:r>
      <w:r w:rsidR="002134B6">
        <w:fldChar w:fldCharType="end"/>
      </w:r>
      <w:r w:rsidR="00DC1EC2" w:rsidRPr="0073662B">
        <w:t xml:space="preserve"> performs pre-DFT Alamouti between a first and a second symbol half</w:t>
      </w:r>
      <w:r w:rsidR="00C319B4" w:rsidRPr="0073662B">
        <w:t xml:space="preserve">: </w:t>
      </w:r>
      <w:r w:rsidR="00796A07" w:rsidRPr="0073662B">
        <w:rPr>
          <w:position w:val="-10"/>
        </w:rPr>
        <w:object w:dxaOrig="1560" w:dyaOrig="320">
          <v:shape id="_x0000_i1031" type="#_x0000_t75" style="width:78.2pt;height:15.9pt" o:ole="">
            <v:imagedata r:id="rId23" o:title=""/>
          </v:shape>
          <o:OLEObject Type="Embed" ProgID="Equation.DSMT4" ShapeID="_x0000_i1031" DrawAspect="Content" ObjectID="_1584276222" r:id="rId24"/>
        </w:object>
      </w:r>
      <w:r w:rsidR="00C319B4" w:rsidRPr="0073662B">
        <w:t xml:space="preserve"> and </w:t>
      </w:r>
      <w:r w:rsidR="00796A07" w:rsidRPr="0073662B">
        <w:rPr>
          <w:position w:val="-10"/>
        </w:rPr>
        <w:object w:dxaOrig="2079" w:dyaOrig="320">
          <v:shape id="_x0000_i1032" type="#_x0000_t75" style="width:105.15pt;height:15.9pt" o:ole="">
            <v:imagedata r:id="rId25" o:title=""/>
          </v:shape>
          <o:OLEObject Type="Embed" ProgID="Equation.DSMT4" ShapeID="_x0000_i1032" DrawAspect="Content" ObjectID="_1584276223" r:id="rId26"/>
        </w:object>
      </w:r>
      <w:r w:rsidR="00F7681E" w:rsidRPr="0073662B">
        <w:t xml:space="preserve">. </w:t>
      </w:r>
      <w:r w:rsidR="00796A07">
        <w:t xml:space="preserve">This leads creating Alamouti pairs in positions </w:t>
      </w:r>
      <w:r w:rsidR="00796A07" w:rsidRPr="00796A07">
        <w:rPr>
          <w:i/>
        </w:rPr>
        <w:t>n</w:t>
      </w:r>
      <w:r w:rsidR="00796A07">
        <w:t xml:space="preserve"> and </w:t>
      </w:r>
      <w:r w:rsidR="00796A07" w:rsidRPr="00796A07">
        <w:rPr>
          <w:position w:val="-10"/>
        </w:rPr>
        <w:object w:dxaOrig="2000" w:dyaOrig="300">
          <v:shape id="_x0000_i1035" type="#_x0000_t75" style="width:99.85pt;height:15pt" o:ole="">
            <v:imagedata r:id="rId27" o:title=""/>
          </v:shape>
          <o:OLEObject Type="Embed" ProgID="Equation.DSMT4" ShapeID="_x0000_i1035" DrawAspect="Content" ObjectID="_1584276224" r:id="rId28"/>
        </w:object>
      </w:r>
      <w:r w:rsidR="00796A07">
        <w:t xml:space="preserve"> based on symbols </w:t>
      </w:r>
      <w:r w:rsidR="00796A07" w:rsidRPr="00796A07">
        <w:rPr>
          <w:position w:val="-10"/>
        </w:rPr>
        <w:object w:dxaOrig="340" w:dyaOrig="320">
          <v:shape id="_x0000_i1033" type="#_x0000_t75" style="width:16.8pt;height:15.9pt" o:ole="">
            <v:imagedata r:id="rId29" o:title=""/>
          </v:shape>
          <o:OLEObject Type="Embed" ProgID="Equation.DSMT4" ShapeID="_x0000_i1033" DrawAspect="Content" ObjectID="_1584276225" r:id="rId30"/>
        </w:object>
      </w:r>
      <w:r w:rsidR="00796A07">
        <w:t xml:space="preserve"> and </w:t>
      </w:r>
      <w:r w:rsidR="00796A07" w:rsidRPr="00796A07">
        <w:rPr>
          <w:position w:val="-14"/>
        </w:rPr>
        <w:object w:dxaOrig="1260" w:dyaOrig="360">
          <v:shape id="_x0000_i1034" type="#_x0000_t75" style="width:63.15pt;height:18.1pt" o:ole="">
            <v:imagedata r:id="rId31" o:title=""/>
          </v:shape>
          <o:OLEObject Type="Embed" ProgID="Equation.DSMT4" ShapeID="_x0000_i1034" DrawAspect="Content" ObjectID="_1584276226" r:id="rId32"/>
        </w:object>
      </w:r>
      <w:r w:rsidR="00796A07">
        <w:t xml:space="preserve"> with </w:t>
      </w:r>
      <w:r w:rsidR="00796A07" w:rsidRPr="00796A07">
        <w:rPr>
          <w:position w:val="-6"/>
        </w:rPr>
        <w:object w:dxaOrig="1120" w:dyaOrig="260">
          <v:shape id="_x0000_i1036" type="#_x0000_t75" style="width:56.1pt;height:12.8pt" o:ole="">
            <v:imagedata r:id="rId33" o:title=""/>
          </v:shape>
          <o:OLEObject Type="Embed" ProgID="Equation.DSMT4" ShapeID="_x0000_i1036" DrawAspect="Content" ObjectID="_1584276227" r:id="rId34"/>
        </w:object>
      </w:r>
      <w:r w:rsidR="00796A07">
        <w:t xml:space="preserve">, which leads to a maximum precoding distance of </w:t>
      </w:r>
      <w:r w:rsidR="00796A07" w:rsidRPr="00796A07">
        <w:rPr>
          <w:i/>
        </w:rPr>
        <w:t>M</w:t>
      </w:r>
      <w:r w:rsidR="00796A07">
        <w:t>-1. A better option would be to reduce</w:t>
      </w:r>
      <w:r w:rsidR="000C305B">
        <w:t xml:space="preserve"> the maximum precoding distance by choosing </w:t>
      </w:r>
      <w:r w:rsidR="000C305B" w:rsidRPr="000C305B">
        <w:rPr>
          <w:position w:val="-14"/>
        </w:rPr>
        <w:object w:dxaOrig="6160" w:dyaOrig="380">
          <v:shape id="_x0000_i1037" type="#_x0000_t75" style="width:310.95pt;height:18.55pt" o:ole="">
            <v:imagedata r:id="rId35" o:title=""/>
          </v:shape>
          <o:OLEObject Type="Embed" ProgID="Equation.DSMT4" ShapeID="_x0000_i1037" DrawAspect="Content" ObjectID="_1584276228" r:id="rId36"/>
        </w:object>
      </w:r>
      <w:r w:rsidR="000C305B">
        <w:t>. Although this option may partly mitigate the channel orthogonality loss in the presence of high Doppler, it does not solve all the problems highlighted here-below.</w:t>
      </w:r>
    </w:p>
    <w:p w:rsidR="00CD7218" w:rsidRDefault="00CD7218" w:rsidP="00CD7218">
      <w:pPr>
        <w:pStyle w:val="Lgende"/>
        <w:keepNext/>
      </w:pPr>
      <w:bookmarkStart w:id="5" w:name="_Ref492586162"/>
      <w:r>
        <w:t xml:space="preserve">Table </w:t>
      </w:r>
      <w:fldSimple w:instr=" SEQ Table \* ARABIC ">
        <w:r w:rsidR="00E8270D">
          <w:rPr>
            <w:noProof/>
          </w:rPr>
          <w:t>1</w:t>
        </w:r>
      </w:fldSimple>
      <w:bookmarkEnd w:id="5"/>
      <w:r>
        <w:t>- Characteristics of Alamouti-based implementations with respect to classical SFBC</w:t>
      </w:r>
    </w:p>
    <w:tbl>
      <w:tblPr>
        <w:tblStyle w:val="Grilledutableau"/>
        <w:tblW w:w="0" w:type="auto"/>
        <w:tblLook w:val="04A0" w:firstRow="1" w:lastRow="0" w:firstColumn="1" w:lastColumn="0" w:noHBand="0" w:noVBand="1"/>
      </w:tblPr>
      <w:tblGrid>
        <w:gridCol w:w="1336"/>
        <w:gridCol w:w="1920"/>
        <w:gridCol w:w="1984"/>
        <w:gridCol w:w="1985"/>
        <w:gridCol w:w="2737"/>
      </w:tblGrid>
      <w:tr w:rsidR="00CD7218" w:rsidTr="00CD7218">
        <w:tc>
          <w:tcPr>
            <w:tcW w:w="1336" w:type="dxa"/>
            <w:shd w:val="clear" w:color="auto" w:fill="D9D9D9" w:themeFill="background1" w:themeFillShade="D9"/>
          </w:tcPr>
          <w:p w:rsidR="00CD7218" w:rsidRDefault="00CD7218" w:rsidP="00A37139"/>
        </w:tc>
        <w:tc>
          <w:tcPr>
            <w:tcW w:w="1920" w:type="dxa"/>
            <w:shd w:val="clear" w:color="auto" w:fill="D9D9D9" w:themeFill="background1" w:themeFillShade="D9"/>
          </w:tcPr>
          <w:p w:rsidR="00CD7218" w:rsidRDefault="00CD7218" w:rsidP="00CD7218">
            <w:r w:rsidRPr="00CD7218">
              <w:rPr>
                <w:lang w:val="fr-FR"/>
              </w:rPr>
              <w:t xml:space="preserve">SC-SFBC </w:t>
            </w:r>
            <w:r>
              <w:fldChar w:fldCharType="begin"/>
            </w:r>
            <w:r>
              <w:rPr>
                <w:lang w:val="fr-FR"/>
              </w:rPr>
              <w:instrText xml:space="preserve"> REF _Ref492582194 \r \h </w:instrText>
            </w:r>
            <w:r>
              <w:instrText xml:space="preserve"> \* MERGEFORMAT </w:instrText>
            </w:r>
            <w:r>
              <w:fldChar w:fldCharType="separate"/>
            </w:r>
            <w:r w:rsidR="00E8270D">
              <w:rPr>
                <w:lang w:val="fr-FR"/>
              </w:rPr>
              <w:t>[11]</w:t>
            </w:r>
            <w:r>
              <w:fldChar w:fldCharType="end"/>
            </w:r>
          </w:p>
        </w:tc>
        <w:tc>
          <w:tcPr>
            <w:tcW w:w="1984" w:type="dxa"/>
            <w:shd w:val="clear" w:color="auto" w:fill="D9D9D9" w:themeFill="background1" w:themeFillShade="D9"/>
          </w:tcPr>
          <w:p w:rsidR="00CD7218" w:rsidRPr="00CD7218" w:rsidRDefault="00CD7218" w:rsidP="00CD7218">
            <w:r w:rsidRPr="00CD7218">
              <w:t xml:space="preserve">SS-STBC </w:t>
            </w:r>
            <w:r>
              <w:fldChar w:fldCharType="begin"/>
            </w:r>
            <w:r w:rsidRPr="00CD7218">
              <w:instrText xml:space="preserve"> REF _Ref506393555 \r \h </w:instrText>
            </w:r>
            <w:r>
              <w:instrText xml:space="preserve"> \* MERGEFORMAT </w:instrText>
            </w:r>
            <w:r>
              <w:fldChar w:fldCharType="separate"/>
            </w:r>
            <w:r w:rsidR="00E8270D">
              <w:t>[8]</w:t>
            </w:r>
            <w:r>
              <w:fldChar w:fldCharType="end"/>
            </w:r>
            <w:r>
              <w:t xml:space="preserve"> </w:t>
            </w:r>
            <w:r w:rsidRPr="00CD7218">
              <w:t>with receiver option 1</w:t>
            </w:r>
          </w:p>
        </w:tc>
        <w:tc>
          <w:tcPr>
            <w:tcW w:w="1985" w:type="dxa"/>
            <w:shd w:val="clear" w:color="auto" w:fill="D9D9D9" w:themeFill="background1" w:themeFillShade="D9"/>
          </w:tcPr>
          <w:p w:rsidR="00CD7218" w:rsidRPr="00CD7218" w:rsidRDefault="00CD7218" w:rsidP="00CD7218">
            <w:r w:rsidRPr="00CD7218">
              <w:t xml:space="preserve">SS-STBC </w:t>
            </w:r>
            <w:r>
              <w:fldChar w:fldCharType="begin"/>
            </w:r>
            <w:r w:rsidRPr="00CD7218">
              <w:instrText xml:space="preserve"> REF _Ref506393555 \r \h </w:instrText>
            </w:r>
            <w:r>
              <w:instrText xml:space="preserve"> \* MERGEFORMAT </w:instrText>
            </w:r>
            <w:r>
              <w:fldChar w:fldCharType="separate"/>
            </w:r>
            <w:r w:rsidR="00E8270D">
              <w:t>[8]</w:t>
            </w:r>
            <w:r>
              <w:fldChar w:fldCharType="end"/>
            </w:r>
            <w:r>
              <w:t xml:space="preserve"> </w:t>
            </w:r>
            <w:r w:rsidRPr="00CD7218">
              <w:t>with receiver option 2</w:t>
            </w:r>
          </w:p>
        </w:tc>
        <w:tc>
          <w:tcPr>
            <w:tcW w:w="2737" w:type="dxa"/>
            <w:shd w:val="clear" w:color="auto" w:fill="D9D9D9" w:themeFill="background1" w:themeFillShade="D9"/>
          </w:tcPr>
          <w:p w:rsidR="00CD7218" w:rsidRDefault="00CD7218" w:rsidP="00CD7218">
            <w:r>
              <w:t xml:space="preserve">SS-STBC with pre/postfix </w:t>
            </w:r>
            <w:r>
              <w:fldChar w:fldCharType="begin"/>
            </w:r>
            <w:r>
              <w:instrText xml:space="preserve"> REF _Ref492582210 \r \h </w:instrText>
            </w:r>
            <w:r>
              <w:fldChar w:fldCharType="separate"/>
            </w:r>
            <w:r w:rsidR="00E8270D">
              <w:t>[12]</w:t>
            </w:r>
            <w:r>
              <w:fldChar w:fldCharType="end"/>
            </w:r>
            <w:r>
              <w:t xml:space="preserve"> or 0 padding </w:t>
            </w:r>
          </w:p>
        </w:tc>
      </w:tr>
      <w:tr w:rsidR="00CD7218" w:rsidTr="00CD7218">
        <w:tc>
          <w:tcPr>
            <w:tcW w:w="1336" w:type="dxa"/>
            <w:shd w:val="clear" w:color="auto" w:fill="D9D9D9" w:themeFill="background1" w:themeFillShade="D9"/>
          </w:tcPr>
          <w:p w:rsidR="00CD7218" w:rsidRDefault="00CD7218" w:rsidP="00CD7218">
            <w:r>
              <w:t>PAPR</w:t>
            </w:r>
          </w:p>
        </w:tc>
        <w:tc>
          <w:tcPr>
            <w:tcW w:w="1920" w:type="dxa"/>
            <w:shd w:val="clear" w:color="auto" w:fill="92D050"/>
          </w:tcPr>
          <w:p w:rsidR="00CD7218" w:rsidRDefault="00CD7218" w:rsidP="00CD7218">
            <w:r>
              <w:t>PAPR preserving</w:t>
            </w:r>
          </w:p>
        </w:tc>
        <w:tc>
          <w:tcPr>
            <w:tcW w:w="1984" w:type="dxa"/>
            <w:shd w:val="clear" w:color="auto" w:fill="92D050"/>
          </w:tcPr>
          <w:p w:rsidR="00CD7218" w:rsidRDefault="00CD7218" w:rsidP="00CD7218">
            <w:r>
              <w:t>PAPR preserving</w:t>
            </w:r>
          </w:p>
        </w:tc>
        <w:tc>
          <w:tcPr>
            <w:tcW w:w="1985" w:type="dxa"/>
            <w:shd w:val="clear" w:color="auto" w:fill="92D050"/>
          </w:tcPr>
          <w:p w:rsidR="00CD7218" w:rsidRDefault="00CD7218" w:rsidP="00CD7218">
            <w:r>
              <w:t>PAPR preserving</w:t>
            </w:r>
          </w:p>
        </w:tc>
        <w:tc>
          <w:tcPr>
            <w:tcW w:w="2737" w:type="dxa"/>
            <w:shd w:val="clear" w:color="auto" w:fill="92D050"/>
          </w:tcPr>
          <w:p w:rsidR="00CD7218" w:rsidRDefault="00CD7218" w:rsidP="00CD7218">
            <w:r>
              <w:t>PAPR preserving</w:t>
            </w:r>
          </w:p>
        </w:tc>
      </w:tr>
      <w:tr w:rsidR="00CD7218" w:rsidTr="00CD7218">
        <w:tc>
          <w:tcPr>
            <w:tcW w:w="1336" w:type="dxa"/>
            <w:shd w:val="clear" w:color="auto" w:fill="D9D9D9" w:themeFill="background1" w:themeFillShade="D9"/>
          </w:tcPr>
          <w:p w:rsidR="00CD7218" w:rsidRDefault="00CD7218" w:rsidP="00CD7218">
            <w:r>
              <w:t>Transmitter complexity</w:t>
            </w:r>
          </w:p>
        </w:tc>
        <w:tc>
          <w:tcPr>
            <w:tcW w:w="1920" w:type="dxa"/>
            <w:shd w:val="clear" w:color="auto" w:fill="92D050"/>
          </w:tcPr>
          <w:p w:rsidR="00CD7218" w:rsidRDefault="00CD7218" w:rsidP="00CD7218">
            <w:r>
              <w:t>Same as SFBC, only mapping to subcarrier differs</w:t>
            </w:r>
          </w:p>
        </w:tc>
        <w:tc>
          <w:tcPr>
            <w:tcW w:w="1984" w:type="dxa"/>
            <w:shd w:val="clear" w:color="auto" w:fill="FF0000"/>
          </w:tcPr>
          <w:p w:rsidR="00CD7218" w:rsidRDefault="00CD7218" w:rsidP="00CD7218">
            <w:r>
              <w:t xml:space="preserve">One extra M-size DFT </w:t>
            </w:r>
          </w:p>
        </w:tc>
        <w:tc>
          <w:tcPr>
            <w:tcW w:w="1985" w:type="dxa"/>
            <w:shd w:val="clear" w:color="auto" w:fill="FF0000"/>
          </w:tcPr>
          <w:p w:rsidR="00CD7218" w:rsidRDefault="00CD7218" w:rsidP="00CD7218">
            <w:r>
              <w:t>One extra M-size DFT</w:t>
            </w:r>
          </w:p>
        </w:tc>
        <w:tc>
          <w:tcPr>
            <w:tcW w:w="2737" w:type="dxa"/>
            <w:shd w:val="clear" w:color="auto" w:fill="FF0000"/>
          </w:tcPr>
          <w:p w:rsidR="00CD7218" w:rsidRDefault="00CD7218" w:rsidP="00CD7218">
            <w:r>
              <w:t>One extra M-size DFT</w:t>
            </w:r>
          </w:p>
        </w:tc>
      </w:tr>
      <w:tr w:rsidR="00CD7218" w:rsidTr="00CD7218">
        <w:tc>
          <w:tcPr>
            <w:tcW w:w="1336" w:type="dxa"/>
            <w:shd w:val="clear" w:color="auto" w:fill="D9D9D9" w:themeFill="background1" w:themeFillShade="D9"/>
          </w:tcPr>
          <w:p w:rsidR="00CD7218" w:rsidRDefault="00CD7218" w:rsidP="00CD7218">
            <w:r>
              <w:t>Spectral efficiency penalty</w:t>
            </w:r>
          </w:p>
        </w:tc>
        <w:tc>
          <w:tcPr>
            <w:tcW w:w="1920" w:type="dxa"/>
            <w:shd w:val="clear" w:color="auto" w:fill="92D050"/>
          </w:tcPr>
          <w:p w:rsidR="00CD7218" w:rsidRDefault="00CD7218" w:rsidP="00CD7218">
            <w:r>
              <w:t>No</w:t>
            </w:r>
          </w:p>
        </w:tc>
        <w:tc>
          <w:tcPr>
            <w:tcW w:w="1984" w:type="dxa"/>
            <w:shd w:val="clear" w:color="auto" w:fill="92D050"/>
          </w:tcPr>
          <w:p w:rsidR="00CD7218" w:rsidRDefault="00CD7218" w:rsidP="00CD7218">
            <w:r>
              <w:t>No</w:t>
            </w:r>
          </w:p>
        </w:tc>
        <w:tc>
          <w:tcPr>
            <w:tcW w:w="1985" w:type="dxa"/>
            <w:shd w:val="clear" w:color="auto" w:fill="92D050"/>
          </w:tcPr>
          <w:p w:rsidR="00CD7218" w:rsidRDefault="00CD7218" w:rsidP="00CD7218">
            <w:r>
              <w:t>No</w:t>
            </w:r>
          </w:p>
        </w:tc>
        <w:tc>
          <w:tcPr>
            <w:tcW w:w="2737" w:type="dxa"/>
            <w:shd w:val="clear" w:color="auto" w:fill="FF0000"/>
          </w:tcPr>
          <w:p w:rsidR="00CD7218" w:rsidRDefault="00CD7218" w:rsidP="00CD7218">
            <w:r>
              <w:t>Penalty depending on padding/prefix size and RA size</w:t>
            </w:r>
          </w:p>
        </w:tc>
      </w:tr>
      <w:tr w:rsidR="00CD7218" w:rsidTr="00CD7218">
        <w:tc>
          <w:tcPr>
            <w:tcW w:w="1336" w:type="dxa"/>
            <w:shd w:val="clear" w:color="auto" w:fill="D9D9D9" w:themeFill="background1" w:themeFillShade="D9"/>
          </w:tcPr>
          <w:p w:rsidR="00CD7218" w:rsidRDefault="00CD7218" w:rsidP="00CD7218">
            <w:r>
              <w:t>Receiver complexity</w:t>
            </w:r>
          </w:p>
        </w:tc>
        <w:tc>
          <w:tcPr>
            <w:tcW w:w="1920" w:type="dxa"/>
            <w:shd w:val="clear" w:color="auto" w:fill="FFC000"/>
          </w:tcPr>
          <w:p w:rsidR="00CD7218" w:rsidRDefault="00CD7218" w:rsidP="00CD7218">
            <w:r>
              <w:t xml:space="preserve">Low complexity inversion of 2x2 matrix for MMSE </w:t>
            </w:r>
          </w:p>
        </w:tc>
        <w:tc>
          <w:tcPr>
            <w:tcW w:w="1984" w:type="dxa"/>
            <w:shd w:val="clear" w:color="auto" w:fill="FF0000"/>
          </w:tcPr>
          <w:p w:rsidR="00CD7218" w:rsidRDefault="00CD7218" w:rsidP="00CD7218">
            <w:r>
              <w:t xml:space="preserve">4 extra M/2-point DFTs; </w:t>
            </w:r>
          </w:p>
          <w:p w:rsidR="00CD7218" w:rsidRDefault="00CD7218" w:rsidP="00CD7218">
            <w:r>
              <w:t>MMSE is also needed for high Doppler and/or  dispersive channels</w:t>
            </w:r>
          </w:p>
        </w:tc>
        <w:tc>
          <w:tcPr>
            <w:tcW w:w="1985" w:type="dxa"/>
            <w:shd w:val="clear" w:color="auto" w:fill="FF0000"/>
          </w:tcPr>
          <w:p w:rsidR="00CD7218" w:rsidRDefault="00CD7218" w:rsidP="00CD7218">
            <w:r>
              <w:t>1 extra M-point DFT and channel scaling</w:t>
            </w:r>
          </w:p>
          <w:p w:rsidR="00CD7218" w:rsidRDefault="00CD7218" w:rsidP="00CD7218">
            <w:r>
              <w:t>MMSE is also needed for high Doppler and/or  dispersive channels</w:t>
            </w:r>
          </w:p>
        </w:tc>
        <w:tc>
          <w:tcPr>
            <w:tcW w:w="2737" w:type="dxa"/>
            <w:shd w:val="clear" w:color="auto" w:fill="FF0000"/>
          </w:tcPr>
          <w:p w:rsidR="00CD7218" w:rsidRDefault="00CD7218" w:rsidP="00CD7218">
            <w:r>
              <w:t xml:space="preserve">Same as SS-STBC </w:t>
            </w:r>
            <w:r>
              <w:fldChar w:fldCharType="begin"/>
            </w:r>
            <w:r>
              <w:instrText xml:space="preserve"> REF _Ref492582226 \r \h  \* MERGEFORMAT </w:instrText>
            </w:r>
            <w:r>
              <w:fldChar w:fldCharType="separate"/>
            </w:r>
            <w:r w:rsidR="00E8270D" w:rsidRPr="00E8270D">
              <w:rPr>
                <w:b/>
                <w:bCs/>
              </w:rPr>
              <w:t xml:space="preserve">Erreur ! </w:t>
            </w:r>
            <w:r w:rsidR="00E8270D">
              <w:rPr>
                <w:b/>
                <w:bCs/>
                <w:lang w:val="fr-FR"/>
              </w:rPr>
              <w:t>Source du renvoi introuvable.</w:t>
            </w:r>
            <w:r>
              <w:fldChar w:fldCharType="end"/>
            </w:r>
            <w:r>
              <w:t xml:space="preserve"> with receiver option 1 or 2</w:t>
            </w:r>
          </w:p>
        </w:tc>
      </w:tr>
    </w:tbl>
    <w:p w:rsidR="003B78F4" w:rsidRDefault="003B78F4" w:rsidP="003C27D5">
      <w:pPr>
        <w:rPr>
          <w:i/>
        </w:rPr>
      </w:pPr>
    </w:p>
    <w:p w:rsidR="000C305B" w:rsidRPr="0073662B" w:rsidRDefault="000C305B" w:rsidP="000C305B">
      <w:r>
        <w:t xml:space="preserve">Pre-DFT precoding leads to increased complexity, since 2 DFT operations need to be performed for each DFTsOFDM symbol at the transmitter side. </w:t>
      </w:r>
      <w:r w:rsidRPr="0073662B">
        <w:t xml:space="preserve">To limit the mutual interference between the </w:t>
      </w:r>
      <w:r w:rsidRPr="0073662B">
        <w:rPr>
          <w:b/>
        </w:rPr>
        <w:t>a</w:t>
      </w:r>
      <w:r w:rsidRPr="0073662B">
        <w:t xml:space="preserve"> and </w:t>
      </w:r>
      <w:r w:rsidRPr="0073662B">
        <w:rPr>
          <w:b/>
        </w:rPr>
        <w:t>b</w:t>
      </w:r>
      <w:r w:rsidRPr="0073662B">
        <w:t xml:space="preserve"> halves of the symbol, a cyclic prefix/postfix</w:t>
      </w:r>
      <w:r>
        <w:t xml:space="preserve"> or zero padding</w:t>
      </w:r>
      <w:r w:rsidRPr="0073662B">
        <w:t xml:space="preserve"> of sufficient length to absorb both the multipath </w:t>
      </w:r>
      <w:r w:rsidRPr="0073662B">
        <w:lastRenderedPageBreak/>
        <w:t xml:space="preserve">channel and the interference due to DFTsOFDM joint processing of the two halves needs to be inserted in between these halves, at the expense of spectral efficiency loss. Insufficient cyclic pre/postfix leads to performance degradation, especially in highly selective channels. This cyclic prefix/postfix insertion also enables frequency-domain decoding of the split-symbol STBC, with some extra complexity wrt to SFBC-type precoding (two extra DFTs </w:t>
      </w:r>
      <w:r>
        <w:t xml:space="preserve">and two extra IDFTs </w:t>
      </w:r>
      <w:r w:rsidRPr="0073662B">
        <w:t>of size (M-N</w:t>
      </w:r>
      <w:r w:rsidRPr="0073662B">
        <w:rPr>
          <w:vertAlign w:val="subscript"/>
        </w:rPr>
        <w:t>pre/postfix</w:t>
      </w:r>
      <w:r w:rsidRPr="0073662B">
        <w:t xml:space="preserve">)/2). </w:t>
      </w:r>
      <w:r>
        <w:t xml:space="preserve">Further complexity and performance comparison has been conducted in </w:t>
      </w:r>
      <w:r>
        <w:fldChar w:fldCharType="begin"/>
      </w:r>
      <w:r>
        <w:instrText xml:space="preserve"> REF _Ref494384543 \r \h </w:instrText>
      </w:r>
      <w:r>
        <w:fldChar w:fldCharType="separate"/>
      </w:r>
      <w:r>
        <w:t>[5]</w:t>
      </w:r>
      <w:r>
        <w:fldChar w:fldCharType="end"/>
      </w:r>
      <w:r>
        <w:t xml:space="preserve"> and is summarized in </w:t>
      </w:r>
      <w:r>
        <w:fldChar w:fldCharType="begin"/>
      </w:r>
      <w:r>
        <w:instrText xml:space="preserve"> REF _Ref492586162 \h </w:instrText>
      </w:r>
      <w:r>
        <w:fldChar w:fldCharType="separate"/>
      </w:r>
      <w:r>
        <w:t xml:space="preserve">Table </w:t>
      </w:r>
      <w:r>
        <w:rPr>
          <w:noProof/>
        </w:rPr>
        <w:t>1</w:t>
      </w:r>
      <w:r>
        <w:fldChar w:fldCharType="end"/>
      </w:r>
      <w:r>
        <w:t xml:space="preserve"> .Taking into account the previous analysis, SC-SFBC is preferred over other Alamouti-based schemes. </w:t>
      </w:r>
    </w:p>
    <w:p w:rsidR="000C305B" w:rsidRPr="00F12B7C" w:rsidRDefault="000C305B" w:rsidP="003C27D5">
      <w:pPr>
        <w:rPr>
          <w:i/>
        </w:rPr>
      </w:pPr>
    </w:p>
    <w:p w:rsidR="00A67965" w:rsidRPr="0073662B" w:rsidRDefault="00A67965" w:rsidP="003B78F4">
      <w:pPr>
        <w:pStyle w:val="Titre2"/>
      </w:pPr>
      <w:r w:rsidRPr="0073662B">
        <w:t>Short-delay</w:t>
      </w:r>
      <w:r w:rsidR="00BB4851">
        <w:t>/Long delay</w:t>
      </w:r>
      <w:r w:rsidRPr="0073662B">
        <w:t xml:space="preserve"> CDD</w:t>
      </w:r>
    </w:p>
    <w:p w:rsidR="00A267DE" w:rsidRDefault="00A267DE" w:rsidP="00A267DE">
      <w:pPr>
        <w:keepNext/>
        <w:jc w:val="center"/>
      </w:pPr>
      <w:r>
        <w:rPr>
          <w:noProof/>
          <w:lang w:val="fr-FR" w:eastAsia="fr-FR"/>
        </w:rPr>
        <w:drawing>
          <wp:inline distT="0" distB="0" distL="0" distR="0">
            <wp:extent cx="4226400" cy="1288800"/>
            <wp:effectExtent l="0" t="0" r="317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ftschemaCDD.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226400" cy="1288800"/>
                    </a:xfrm>
                    <a:prstGeom prst="rect">
                      <a:avLst/>
                    </a:prstGeom>
                  </pic:spPr>
                </pic:pic>
              </a:graphicData>
            </a:graphic>
          </wp:inline>
        </w:drawing>
      </w:r>
    </w:p>
    <w:p w:rsidR="00A267DE" w:rsidRDefault="00A267DE" w:rsidP="00A267DE">
      <w:pPr>
        <w:pStyle w:val="Lgende"/>
        <w:jc w:val="center"/>
      </w:pPr>
      <w:bookmarkStart w:id="6" w:name="_Ref481576044"/>
      <w:r>
        <w:t xml:space="preserve">Figure </w:t>
      </w:r>
      <w:fldSimple w:instr=" SEQ Figure \* ARABIC ">
        <w:r w:rsidR="00E8270D">
          <w:rPr>
            <w:noProof/>
          </w:rPr>
          <w:t>4</w:t>
        </w:r>
      </w:fldSimple>
      <w:bookmarkEnd w:id="6"/>
      <w:r>
        <w:t xml:space="preserve"> – Short delay CDD</w:t>
      </w:r>
    </w:p>
    <w:p w:rsidR="00A67965" w:rsidRDefault="00541847" w:rsidP="00A67965">
      <w:r w:rsidRPr="0073662B">
        <w:t>Short delay</w:t>
      </w:r>
      <w:r w:rsidR="002D60EA">
        <w:t xml:space="preserve"> (SD)</w:t>
      </w:r>
      <w:r w:rsidRPr="0073662B">
        <w:t xml:space="preserve"> </w:t>
      </w:r>
      <w:r w:rsidR="00A67965" w:rsidRPr="0073662B">
        <w:t xml:space="preserve">CDD </w:t>
      </w:r>
      <w:r w:rsidRPr="0073662B">
        <w:t>(</w:t>
      </w:r>
      <w:r w:rsidR="00D65C81">
        <w:fldChar w:fldCharType="begin"/>
      </w:r>
      <w:r w:rsidR="00A267DE">
        <w:instrText xml:space="preserve"> REF _Ref481576044 \h </w:instrText>
      </w:r>
      <w:r w:rsidR="00D65C81">
        <w:fldChar w:fldCharType="separate"/>
      </w:r>
      <w:r w:rsidR="00E8270D">
        <w:t xml:space="preserve">Figure </w:t>
      </w:r>
      <w:r w:rsidR="00E8270D">
        <w:rPr>
          <w:noProof/>
        </w:rPr>
        <w:t>4</w:t>
      </w:r>
      <w:r w:rsidR="00D65C81">
        <w:fldChar w:fldCharType="end"/>
      </w:r>
      <w:r w:rsidRPr="0073662B">
        <w:t xml:space="preserve">) </w:t>
      </w:r>
      <w:r w:rsidR="00A67965" w:rsidRPr="0073662B">
        <w:t>transforms the spatial diversity into frequency diversity.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in the frequency domain, similar to a precoding operation.</w:t>
      </w:r>
      <w:r w:rsidR="00BB4851">
        <w:t xml:space="preserve"> With short delays (within the order of several samples), SD-CDD is equivalent to a SISO transmission onto an equivalent channel with more frequency diversity than the original one. As long as the delay is short enough, this scheme can be implemented in a transparent manner (the receiver does not need to have any knowledge about the existence or the amount of delay applied at the transmitter side).</w:t>
      </w:r>
    </w:p>
    <w:p w:rsidR="00BB4851" w:rsidRPr="0073662B" w:rsidRDefault="00BB4851" w:rsidP="00A67965">
      <w:r>
        <w:t>Long delay CDD can be implemented in a similar manner at the transmitter side, but with delays that are much longer (in the order of, for example, half of an OFDM symbol). There is an impact on the channel estimation at the receiver side.</w:t>
      </w:r>
    </w:p>
    <w:p w:rsidR="00710778" w:rsidRDefault="00541847" w:rsidP="003C27D5">
      <w:r w:rsidRPr="0073662B">
        <w:t xml:space="preserve">CDD is not a full-diversity scheme: it transforms spatial diversity in frequency-diversity. It achieves enhanced frequency diversity via coding. CDD performance </w:t>
      </w:r>
      <w:r w:rsidR="00710778">
        <w:t xml:space="preserve">quickly degrades with relaxed coding rate and/or in scenarios where other sources of diversity are available, rendering the channel enhancement gain limited (e.g. high speed, very selective channels, frequency hopping). CDD has already been investigated for </w:t>
      </w:r>
      <w:r w:rsidR="00BB4851">
        <w:t xml:space="preserve">NR </w:t>
      </w:r>
      <w:r w:rsidR="00710778">
        <w:t xml:space="preserve">control channels in </w:t>
      </w:r>
      <w:r w:rsidR="00710778">
        <w:fldChar w:fldCharType="begin"/>
      </w:r>
      <w:r w:rsidR="00710778">
        <w:instrText xml:space="preserve"> REF _Ref494384545 \r \h </w:instrText>
      </w:r>
      <w:r w:rsidR="00710778">
        <w:fldChar w:fldCharType="separate"/>
      </w:r>
      <w:r w:rsidR="00E8270D">
        <w:t>[6]</w:t>
      </w:r>
      <w:r w:rsidR="00710778">
        <w:fldChar w:fldCharType="end"/>
      </w:r>
      <w:r w:rsidR="00710778">
        <w:t>.</w:t>
      </w:r>
    </w:p>
    <w:p w:rsidR="00541847" w:rsidRPr="00710778" w:rsidRDefault="00A267DE" w:rsidP="003C27D5">
      <w:pPr>
        <w:rPr>
          <w:i/>
        </w:rPr>
      </w:pPr>
      <w:r w:rsidRPr="00A267DE">
        <w:rPr>
          <w:b/>
        </w:rPr>
        <w:t>Observation</w:t>
      </w:r>
      <w:r>
        <w:t xml:space="preserve">: </w:t>
      </w:r>
      <w:r w:rsidRPr="00A267DE">
        <w:rPr>
          <w:i/>
        </w:rPr>
        <w:t xml:space="preserve">Short delay CDD is not a full-diversity scheme and its performance is </w:t>
      </w:r>
      <w:r>
        <w:rPr>
          <w:i/>
        </w:rPr>
        <w:t xml:space="preserve">very </w:t>
      </w:r>
      <w:r w:rsidRPr="00A267DE">
        <w:rPr>
          <w:i/>
        </w:rPr>
        <w:t xml:space="preserve">sensitive to </w:t>
      </w:r>
      <w:r w:rsidR="002D60EA">
        <w:rPr>
          <w:i/>
        </w:rPr>
        <w:t>increasing</w:t>
      </w:r>
      <w:r>
        <w:rPr>
          <w:i/>
        </w:rPr>
        <w:t xml:space="preserve"> the </w:t>
      </w:r>
      <w:r w:rsidRPr="00A267DE">
        <w:rPr>
          <w:i/>
        </w:rPr>
        <w:t>coding rates</w:t>
      </w:r>
      <w:r>
        <w:t>.</w:t>
      </w:r>
      <w:r w:rsidR="002D60EA">
        <w:t xml:space="preserve"> </w:t>
      </w:r>
      <w:r w:rsidR="002D60EA" w:rsidRPr="002D60EA">
        <w:rPr>
          <w:i/>
        </w:rPr>
        <w:t>Gain is limited onto channels with already long delay spreads</w:t>
      </w:r>
      <w:r w:rsidR="00710778">
        <w:t xml:space="preserve"> </w:t>
      </w:r>
      <w:r w:rsidR="00710778" w:rsidRPr="00710778">
        <w:rPr>
          <w:i/>
        </w:rPr>
        <w:t>and/or at high speed</w:t>
      </w:r>
      <w:r w:rsidR="00710778">
        <w:rPr>
          <w:i/>
        </w:rPr>
        <w:t>.</w:t>
      </w:r>
    </w:p>
    <w:p w:rsidR="00683FC6" w:rsidRDefault="00683FC6" w:rsidP="00541847"/>
    <w:p w:rsidR="000C305B" w:rsidRDefault="000C305B" w:rsidP="00541847"/>
    <w:p w:rsidR="000C305B" w:rsidRDefault="000C305B" w:rsidP="00541847"/>
    <w:p w:rsidR="000C305B" w:rsidRPr="0073662B" w:rsidRDefault="000C305B" w:rsidP="00541847"/>
    <w:p w:rsidR="00D007C0" w:rsidRPr="0073662B" w:rsidRDefault="00503508" w:rsidP="00D007C0">
      <w:pPr>
        <w:pStyle w:val="Titre2"/>
      </w:pPr>
      <w:r>
        <w:lastRenderedPageBreak/>
        <w:t>Time domain precoder vector switching</w:t>
      </w:r>
      <w:r w:rsidR="00853799">
        <w:t xml:space="preserve"> for DFTsOFDM</w:t>
      </w:r>
    </w:p>
    <w:p w:rsidR="00C70D82" w:rsidRDefault="00853799" w:rsidP="00541847">
      <w:r>
        <w:t xml:space="preserve">Time domain cycling </w:t>
      </w:r>
      <w:r w:rsidR="00AC1F37">
        <w:t xml:space="preserve">within a slot </w:t>
      </w:r>
      <w:r>
        <w:t xml:space="preserve">can be implemented through antenna/precoder switching. </w:t>
      </w:r>
      <w:r w:rsidR="00D007C0">
        <w:t xml:space="preserve">Time domain </w:t>
      </w:r>
      <w:r w:rsidR="00503508">
        <w:t>PVS</w:t>
      </w:r>
      <w:r w:rsidR="00D007C0">
        <w:t xml:space="preserve"> </w:t>
      </w:r>
      <w:r w:rsidR="00AC1F37">
        <w:t xml:space="preserve">within a slot </w:t>
      </w:r>
      <w:r w:rsidR="00D007C0">
        <w:t xml:space="preserve">can be implemented in either transparent </w:t>
      </w:r>
      <w:r w:rsidR="00503508">
        <w:t xml:space="preserve">(data and DMRS are precoded with the same precoder) </w:t>
      </w:r>
      <w:r w:rsidR="00D007C0">
        <w:t>or non-transparent manner</w:t>
      </w:r>
      <w:r w:rsidR="00503508">
        <w:t xml:space="preserve"> (data and DMRS use different precoders), as in </w:t>
      </w:r>
      <w:r w:rsidR="00D65C81">
        <w:fldChar w:fldCharType="begin"/>
      </w:r>
      <w:r w:rsidR="00C70D82">
        <w:instrText xml:space="preserve"> REF _Ref481679428 \h </w:instrText>
      </w:r>
      <w:r w:rsidR="00D65C81">
        <w:fldChar w:fldCharType="separate"/>
      </w:r>
      <w:r w:rsidR="00E8270D">
        <w:t xml:space="preserve">Figure </w:t>
      </w:r>
      <w:r w:rsidR="00E8270D">
        <w:rPr>
          <w:noProof/>
        </w:rPr>
        <w:t>5</w:t>
      </w:r>
      <w:r w:rsidR="00D65C81">
        <w:fldChar w:fldCharType="end"/>
      </w:r>
      <w:r w:rsidR="00503508">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70D82" w:rsidTr="00A704DB">
        <w:tc>
          <w:tcPr>
            <w:tcW w:w="4981" w:type="dxa"/>
          </w:tcPr>
          <w:p w:rsidR="00C70D82" w:rsidRDefault="00C70D82" w:rsidP="00A704DB">
            <w:r>
              <w:rPr>
                <w:noProof/>
                <w:lang w:val="fr-FR" w:eastAsia="fr-FR"/>
              </w:rPr>
              <w:drawing>
                <wp:inline distT="0" distB="0" distL="0" distR="0">
                  <wp:extent cx="2804400" cy="946800"/>
                  <wp:effectExtent l="0" t="0" r="0" b="571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anspPVC.pn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numPr>
                <w:ilvl w:val="0"/>
                <w:numId w:val="40"/>
              </w:numPr>
              <w:ind w:leftChars="0"/>
            </w:pPr>
            <w:r>
              <w:t>DM-RS transparent precoder cycling</w:t>
            </w:r>
          </w:p>
        </w:tc>
        <w:tc>
          <w:tcPr>
            <w:tcW w:w="4981" w:type="dxa"/>
          </w:tcPr>
          <w:p w:rsidR="00C70D82" w:rsidRDefault="00C70D82" w:rsidP="00A704DB">
            <w:r>
              <w:rPr>
                <w:noProof/>
                <w:lang w:val="fr-FR" w:eastAsia="fr-FR"/>
              </w:rPr>
              <w:drawing>
                <wp:inline distT="0" distB="0" distL="0" distR="0">
                  <wp:extent cx="2804400" cy="946800"/>
                  <wp:effectExtent l="0" t="0" r="0" b="571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ontranspPVC.png"/>
                          <pic:cNvPicPr/>
                        </pic:nvPicPr>
                        <pic:blipFill>
                          <a:blip r:embed="rId39"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keepNext/>
              <w:numPr>
                <w:ilvl w:val="0"/>
                <w:numId w:val="40"/>
              </w:numPr>
              <w:ind w:leftChars="0"/>
            </w:pPr>
            <w:r>
              <w:t>Non-transparent precoder cycling</w:t>
            </w:r>
          </w:p>
        </w:tc>
      </w:tr>
    </w:tbl>
    <w:p w:rsidR="00C70D82" w:rsidRDefault="00C70D82" w:rsidP="00C70D82">
      <w:pPr>
        <w:pStyle w:val="Lgende"/>
        <w:jc w:val="center"/>
      </w:pPr>
      <w:bookmarkStart w:id="7" w:name="_Ref481679428"/>
      <w:r>
        <w:t xml:space="preserve">Figure </w:t>
      </w:r>
      <w:fldSimple w:instr=" SEQ Figure \* ARABIC ">
        <w:r w:rsidR="00E8270D">
          <w:rPr>
            <w:noProof/>
          </w:rPr>
          <w:t>5</w:t>
        </w:r>
      </w:fldSimple>
      <w:bookmarkEnd w:id="7"/>
      <w:r>
        <w:t xml:space="preserve"> – Time-domain beam/precoder cycling</w:t>
      </w:r>
      <w:r w:rsidR="00AC1F37">
        <w:t xml:space="preserve"> within a slot</w:t>
      </w:r>
    </w:p>
    <w:p w:rsidR="00874B95" w:rsidRPr="0073662B" w:rsidRDefault="00B62A70" w:rsidP="00503508">
      <w:r>
        <w:t xml:space="preserve">DM-RS transparent </w:t>
      </w:r>
      <w:r w:rsidR="00503508">
        <w:t>requires at least</w:t>
      </w:r>
      <w:r>
        <w:t xml:space="preserve"> </w:t>
      </w:r>
      <w:r w:rsidR="00503508">
        <w:t xml:space="preserve">one </w:t>
      </w:r>
      <w:r>
        <w:t xml:space="preserve">DM-RS </w:t>
      </w:r>
      <w:r w:rsidR="00503508">
        <w:t xml:space="preserve">to be </w:t>
      </w:r>
      <w:r>
        <w:t>present in each time-domain duration corresponding to a given precoder</w:t>
      </w:r>
      <w:r w:rsidR="00250E84">
        <w:t xml:space="preserve">, as in </w:t>
      </w:r>
      <w:r w:rsidR="00D65C81">
        <w:fldChar w:fldCharType="begin"/>
      </w:r>
      <w:r w:rsidR="00250E84">
        <w:instrText xml:space="preserve"> REF _Ref481679428 \h </w:instrText>
      </w:r>
      <w:r w:rsidR="00D65C81">
        <w:fldChar w:fldCharType="separate"/>
      </w:r>
      <w:r w:rsidR="00E8270D">
        <w:t xml:space="preserve">Figure </w:t>
      </w:r>
      <w:r w:rsidR="00E8270D">
        <w:rPr>
          <w:noProof/>
        </w:rPr>
        <w:t>5</w:t>
      </w:r>
      <w:r w:rsidR="00D65C81">
        <w:fldChar w:fldCharType="end"/>
      </w:r>
      <w:r w:rsidR="00250E84">
        <w:t>a</w:t>
      </w:r>
      <w:r>
        <w:t xml:space="preserve">. </w:t>
      </w:r>
      <w:r w:rsidR="00503508">
        <w:t xml:space="preserve">This is equivalent to frequency hopping </w:t>
      </w:r>
      <w:r w:rsidR="00C174C4">
        <w:t xml:space="preserve">and/or open loop transmit antenna selection (OL-TAS) </w:t>
      </w:r>
      <w:r w:rsidR="00503508">
        <w:t>within the slot</w:t>
      </w:r>
      <w:r>
        <w:t xml:space="preserve">. </w:t>
      </w:r>
      <w:r w:rsidR="00503508">
        <w:t>This scheme</w:t>
      </w:r>
      <w:r>
        <w:t xml:space="preserve"> has degraded performance at high speed, since channel tracking is not possible between DM-RS in different time-domain bundles. </w:t>
      </w:r>
      <w:r w:rsidR="00874B95" w:rsidRPr="0073662B">
        <w:t xml:space="preserve">Sufficient DM-RS need to be inserted in order to estimate channels </w:t>
      </w:r>
      <w:r w:rsidR="003979B2">
        <w:t>for all precoders cycled</w:t>
      </w:r>
      <w:r w:rsidR="00874B95" w:rsidRPr="0073662B">
        <w:t xml:space="preserve"> during a codeword transmission, which leads to denser DM-RS pattern in the time domain than Alamouti-type precoding or CDD, at least for low/medium-speed scenarios (DM-RS </w:t>
      </w:r>
      <w:r w:rsidR="002D60EA">
        <w:t>pattern</w:t>
      </w:r>
      <w:r w:rsidR="00874B95" w:rsidRPr="0073662B">
        <w:t xml:space="preserve"> is N</w:t>
      </w:r>
      <w:r w:rsidR="003979B2">
        <w:rPr>
          <w:vertAlign w:val="subscript"/>
        </w:rPr>
        <w:t>beams/precoders</w:t>
      </w:r>
      <w:r w:rsidR="00874B95" w:rsidRPr="0073662B">
        <w:t xml:space="preserve"> times </w:t>
      </w:r>
      <w:r w:rsidR="002D60EA">
        <w:t>denser in the time domain resulting in higher DM-RS overhead</w:t>
      </w:r>
      <w:r w:rsidR="00874B95" w:rsidRPr="0073662B">
        <w:t xml:space="preserve">). </w:t>
      </w:r>
    </w:p>
    <w:p w:rsidR="00874B95" w:rsidRDefault="003979B2" w:rsidP="00B62A70">
      <w:r>
        <w:t>DM-RS-transparent beam/precoder cycling</w:t>
      </w:r>
      <w:r w:rsidRPr="0073662B">
        <w:t xml:space="preserve"> </w:t>
      </w:r>
      <w:r w:rsidR="00874B95" w:rsidRPr="0073662B">
        <w:t xml:space="preserve">is not a full-diversity scheme: </w:t>
      </w:r>
      <w:r>
        <w:t>it</w:t>
      </w:r>
      <w:r w:rsidR="00874B95" w:rsidRPr="0073662B">
        <w:t xml:space="preserve"> achieves enhanced time diversity via coding. </w:t>
      </w:r>
    </w:p>
    <w:p w:rsidR="005D6D69" w:rsidRDefault="005D6D69" w:rsidP="00541847">
      <w:r w:rsidRPr="005D6D69">
        <w:rPr>
          <w:b/>
        </w:rPr>
        <w:t>Observation</w:t>
      </w:r>
      <w:r>
        <w:t xml:space="preserve">: </w:t>
      </w:r>
      <w:r w:rsidRPr="005D6D69">
        <w:rPr>
          <w:i/>
        </w:rPr>
        <w:t xml:space="preserve">DM-RS-transparent </w:t>
      </w:r>
      <w:r w:rsidR="00C174C4">
        <w:rPr>
          <w:i/>
        </w:rPr>
        <w:t xml:space="preserve">PVS </w:t>
      </w:r>
      <w:r w:rsidR="00AC1F37">
        <w:rPr>
          <w:i/>
        </w:rPr>
        <w:t xml:space="preserve">within a slot </w:t>
      </w:r>
      <w:r w:rsidR="00853799">
        <w:rPr>
          <w:i/>
        </w:rPr>
        <w:t>is sensitive</w:t>
      </w:r>
      <w:r w:rsidRPr="005D6D69">
        <w:rPr>
          <w:i/>
        </w:rPr>
        <w:t xml:space="preserve"> </w:t>
      </w:r>
      <w:r w:rsidR="003979B2">
        <w:rPr>
          <w:i/>
        </w:rPr>
        <w:t xml:space="preserve">to </w:t>
      </w:r>
      <w:r w:rsidR="002D60EA">
        <w:rPr>
          <w:i/>
        </w:rPr>
        <w:t>increas</w:t>
      </w:r>
      <w:r w:rsidR="003979B2">
        <w:rPr>
          <w:i/>
        </w:rPr>
        <w:t xml:space="preserve">ed coding rates, sensitive </w:t>
      </w:r>
      <w:r w:rsidRPr="005D6D69">
        <w:rPr>
          <w:i/>
        </w:rPr>
        <w:t>at high speed</w:t>
      </w:r>
      <w:r w:rsidR="00874B95">
        <w:rPr>
          <w:i/>
        </w:rPr>
        <w:t xml:space="preserve"> and has high DM-RS overhead at low/medium speed</w:t>
      </w:r>
      <w:r>
        <w:rPr>
          <w:i/>
        </w:rPr>
        <w:t>.</w:t>
      </w:r>
    </w:p>
    <w:p w:rsidR="00D007C0" w:rsidRDefault="00D007C0" w:rsidP="00541847">
      <w:r>
        <w:t xml:space="preserve">Cycling in a non-transparent manner </w:t>
      </w:r>
      <w:r w:rsidR="005258E8">
        <w:t xml:space="preserve">also </w:t>
      </w:r>
      <w:r>
        <w:t xml:space="preserve">requires </w:t>
      </w:r>
      <w:r w:rsidR="002D60EA">
        <w:t>one DM-RS per antenna port and knowledge on the number/structure of the precoders to be cycled</w:t>
      </w:r>
      <w:r w:rsidR="00250E84">
        <w:t xml:space="preserve"> (</w:t>
      </w:r>
      <w:r w:rsidR="00D65C81">
        <w:fldChar w:fldCharType="begin"/>
      </w:r>
      <w:r w:rsidR="00250E84">
        <w:instrText xml:space="preserve"> REF _Ref481679428 \h </w:instrText>
      </w:r>
      <w:r w:rsidR="00D65C81">
        <w:fldChar w:fldCharType="separate"/>
      </w:r>
      <w:r w:rsidR="00E8270D">
        <w:t xml:space="preserve">Figure </w:t>
      </w:r>
      <w:r w:rsidR="00E8270D">
        <w:rPr>
          <w:noProof/>
        </w:rPr>
        <w:t>5</w:t>
      </w:r>
      <w:r w:rsidR="00D65C81">
        <w:fldChar w:fldCharType="end"/>
      </w:r>
      <w:r w:rsidR="00250E84">
        <w:t>b)</w:t>
      </w:r>
      <w:r>
        <w:t xml:space="preserve">. </w:t>
      </w:r>
      <w:r w:rsidR="005258E8">
        <w:t>Although channel tracking in the time domain is possible in this case, g</w:t>
      </w:r>
      <w:r>
        <w:t>ain is dependent on the number of precoders</w:t>
      </w:r>
      <w:r w:rsidR="005258E8">
        <w:t>. D</w:t>
      </w:r>
      <w:r>
        <w:t xml:space="preserve">ue to the limitations in the precoder choice imposed by the DFTsOFDM structure (need to keep the low PAPR property), cycling with more than 2 precoders is hardly feasible. Also, any extra time diversity thus provided is only recovered through coding, </w:t>
      </w:r>
      <w:r w:rsidR="005258E8">
        <w:t xml:space="preserve">which renders the scheme sensitive to </w:t>
      </w:r>
      <w:r w:rsidR="002D60EA">
        <w:t>increas</w:t>
      </w:r>
      <w:r w:rsidR="005258E8">
        <w:t xml:space="preserve">ed coding rates. The interest of specifying this family of schemes is unclear: it requires the same number of DM-RS </w:t>
      </w:r>
      <w:r w:rsidR="00510D2A">
        <w:t>resources</w:t>
      </w:r>
      <w:r w:rsidR="005258E8">
        <w:t xml:space="preserve"> and </w:t>
      </w:r>
      <w:r w:rsidR="002D60EA">
        <w:t xml:space="preserve">amount of </w:t>
      </w:r>
      <w:r w:rsidR="005258E8">
        <w:t>specification effort as Alamouti-based schemes, and it is not full-diversity achieving</w:t>
      </w:r>
      <w:r>
        <w:t>.</w:t>
      </w:r>
    </w:p>
    <w:p w:rsidR="005258E8" w:rsidRDefault="005258E8" w:rsidP="00541847">
      <w:pPr>
        <w:rPr>
          <w:i/>
        </w:rPr>
      </w:pPr>
      <w:r w:rsidRPr="005258E8">
        <w:rPr>
          <w:b/>
        </w:rPr>
        <w:t>Observation</w:t>
      </w:r>
      <w:r>
        <w:t xml:space="preserve">: </w:t>
      </w:r>
      <w:r w:rsidR="00C174C4" w:rsidRPr="00C174C4">
        <w:rPr>
          <w:i/>
        </w:rPr>
        <w:t>DMRS n</w:t>
      </w:r>
      <w:r w:rsidRPr="005258E8">
        <w:rPr>
          <w:i/>
        </w:rPr>
        <w:t xml:space="preserve">on-transparent </w:t>
      </w:r>
      <w:r w:rsidR="00C174C4">
        <w:rPr>
          <w:i/>
        </w:rPr>
        <w:t>PVS</w:t>
      </w:r>
      <w:r w:rsidR="00AC1F37">
        <w:rPr>
          <w:i/>
        </w:rPr>
        <w:t xml:space="preserve"> within a slot</w:t>
      </w:r>
      <w:r w:rsidRPr="005258E8">
        <w:rPr>
          <w:i/>
        </w:rPr>
        <w:t xml:space="preserve"> is not full-diversity achieving, is sensitive to </w:t>
      </w:r>
      <w:r w:rsidR="002D60EA">
        <w:rPr>
          <w:i/>
        </w:rPr>
        <w:t>increas</w:t>
      </w:r>
      <w:r w:rsidRPr="005258E8">
        <w:rPr>
          <w:i/>
        </w:rPr>
        <w:t xml:space="preserve">ed coding rates and it requires the same number of DM-RS </w:t>
      </w:r>
      <w:r w:rsidR="00510D2A" w:rsidRPr="005258E8">
        <w:rPr>
          <w:i/>
        </w:rPr>
        <w:t>resources</w:t>
      </w:r>
      <w:r w:rsidRPr="005258E8">
        <w:rPr>
          <w:i/>
        </w:rPr>
        <w:t xml:space="preserve"> and </w:t>
      </w:r>
      <w:r w:rsidR="002D60EA">
        <w:rPr>
          <w:i/>
        </w:rPr>
        <w:t xml:space="preserve">amount of </w:t>
      </w:r>
      <w:r w:rsidRPr="005258E8">
        <w:rPr>
          <w:i/>
        </w:rPr>
        <w:t>specification effort as Alamouti-based schemes</w:t>
      </w:r>
      <w:r>
        <w:rPr>
          <w:i/>
        </w:rPr>
        <w:t>.</w:t>
      </w:r>
    </w:p>
    <w:p w:rsidR="00C174C4" w:rsidRDefault="00C174C4" w:rsidP="00541847">
      <w:pPr>
        <w:rPr>
          <w:i/>
        </w:rPr>
      </w:pPr>
    </w:p>
    <w:p w:rsidR="00C174C4" w:rsidRDefault="00632318" w:rsidP="00541847">
      <w:r>
        <w:t>On the other hand, time domain cycling across slots can be implemented through antenna/precoder switching</w:t>
      </w:r>
      <w:r w:rsidR="00FE7D8D">
        <w:t>, which is useful in mitigating large scale fading and/or blocking effects. This technique can be successfully combined with intra-slot transmit diversity such as full diversity achieving Alamouti-based schemes.</w:t>
      </w:r>
    </w:p>
    <w:p w:rsidR="00FE7D8D" w:rsidRDefault="00FE7D8D" w:rsidP="00541847">
      <w:pPr>
        <w:rPr>
          <w:i/>
        </w:rPr>
      </w:pPr>
      <w:r w:rsidRPr="00FE7D8D">
        <w:rPr>
          <w:b/>
        </w:rPr>
        <w:t>Observation</w:t>
      </w:r>
      <w:r>
        <w:t xml:space="preserve">: </w:t>
      </w:r>
      <w:r w:rsidRPr="00FE7D8D">
        <w:rPr>
          <w:i/>
        </w:rPr>
        <w:t>PVS across slots is useful in mitigating large scale fading and can be easily combined with intra-slot transmit diversity such as full diversity achieving Alamouti-based schemes.</w:t>
      </w:r>
    </w:p>
    <w:p w:rsidR="000C305B" w:rsidRDefault="000C305B" w:rsidP="00541847">
      <w:pPr>
        <w:rPr>
          <w:i/>
        </w:rPr>
      </w:pPr>
    </w:p>
    <w:p w:rsidR="000C305B" w:rsidRDefault="000C305B" w:rsidP="00541847"/>
    <w:p w:rsidR="00FF1D59" w:rsidRPr="0073662B" w:rsidRDefault="00FF1D59" w:rsidP="002E7516">
      <w:pPr>
        <w:pBdr>
          <w:bottom w:val="single" w:sz="12" w:space="1" w:color="auto"/>
        </w:pBdr>
      </w:pPr>
    </w:p>
    <w:p w:rsidR="00C42741" w:rsidRPr="0073662B" w:rsidRDefault="00C42741" w:rsidP="00A81622">
      <w:pPr>
        <w:pStyle w:val="Titre1"/>
      </w:pPr>
      <w:r w:rsidRPr="0073662B">
        <w:t>Conclusion</w:t>
      </w:r>
    </w:p>
    <w:p w:rsidR="0066520C" w:rsidRDefault="0066520C" w:rsidP="0066520C">
      <w:pPr>
        <w:rPr>
          <w:i/>
        </w:rPr>
      </w:pPr>
      <w:r w:rsidRPr="0073662B">
        <w:rPr>
          <w:b/>
        </w:rPr>
        <w:t>Observation</w:t>
      </w:r>
      <w:r w:rsidRPr="0073662B">
        <w:t xml:space="preserve">: </w:t>
      </w:r>
      <w:r>
        <w:rPr>
          <w:i/>
        </w:rPr>
        <w:t>SC-SFBC has the following advantages:</w:t>
      </w:r>
    </w:p>
    <w:p w:rsidR="0066520C" w:rsidRPr="00BD3F81" w:rsidRDefault="0066520C" w:rsidP="0066520C">
      <w:pPr>
        <w:pStyle w:val="Paragraphedeliste"/>
        <w:numPr>
          <w:ilvl w:val="0"/>
          <w:numId w:val="43"/>
        </w:numPr>
        <w:ind w:leftChars="0"/>
      </w:pPr>
      <w:r w:rsidRPr="00BD3F81">
        <w:rPr>
          <w:i/>
        </w:rPr>
        <w:t>PAPR preserving for all constellation types</w:t>
      </w:r>
      <w:r>
        <w:rPr>
          <w:i/>
        </w:rPr>
        <w:t xml:space="preserve">, </w:t>
      </w:r>
    </w:p>
    <w:p w:rsidR="0066520C" w:rsidRPr="00BD3F81" w:rsidRDefault="0066520C" w:rsidP="0066520C">
      <w:pPr>
        <w:pStyle w:val="Paragraphedeliste"/>
        <w:numPr>
          <w:ilvl w:val="0"/>
          <w:numId w:val="43"/>
        </w:numPr>
        <w:ind w:leftChars="0"/>
      </w:pPr>
      <w:r w:rsidRPr="00BD3F81">
        <w:rPr>
          <w:i/>
        </w:rPr>
        <w:t xml:space="preserve">operating on single symbol DFTsOFDM, </w:t>
      </w:r>
    </w:p>
    <w:p w:rsidR="0066520C" w:rsidRPr="00BD3F81" w:rsidRDefault="0066520C" w:rsidP="0066520C">
      <w:pPr>
        <w:pStyle w:val="Paragraphedeliste"/>
        <w:numPr>
          <w:ilvl w:val="0"/>
          <w:numId w:val="43"/>
        </w:numPr>
        <w:ind w:leftChars="0"/>
      </w:pPr>
      <w:r w:rsidRPr="00BD3F81">
        <w:rPr>
          <w:i/>
        </w:rPr>
        <w:t xml:space="preserve">full diversity achieving, </w:t>
      </w:r>
    </w:p>
    <w:p w:rsidR="0066520C" w:rsidRPr="0066520C" w:rsidRDefault="0066520C" w:rsidP="0066520C">
      <w:pPr>
        <w:pStyle w:val="Paragraphedeliste"/>
        <w:numPr>
          <w:ilvl w:val="0"/>
          <w:numId w:val="43"/>
        </w:numPr>
        <w:ind w:leftChars="0"/>
      </w:pPr>
      <w:r w:rsidRPr="00BD3F81">
        <w:rPr>
          <w:i/>
        </w:rPr>
        <w:t>with low-complexity frequency-domain decoding at subcarrier level.</w:t>
      </w:r>
    </w:p>
    <w:p w:rsidR="0066520C" w:rsidRPr="00710778" w:rsidRDefault="0066520C" w:rsidP="0066520C">
      <w:pPr>
        <w:rPr>
          <w:i/>
        </w:rPr>
      </w:pPr>
      <w:r w:rsidRPr="00A267DE">
        <w:rPr>
          <w:b/>
        </w:rPr>
        <w:t>Observation</w:t>
      </w:r>
      <w:r>
        <w:t xml:space="preserve">: </w:t>
      </w:r>
      <w:r w:rsidRPr="00A267DE">
        <w:rPr>
          <w:i/>
        </w:rPr>
        <w:t xml:space="preserve">Short delay CDD is not a full-diversity scheme and its performance is </w:t>
      </w:r>
      <w:r>
        <w:rPr>
          <w:i/>
        </w:rPr>
        <w:t xml:space="preserve">very </w:t>
      </w:r>
      <w:r w:rsidRPr="00A267DE">
        <w:rPr>
          <w:i/>
        </w:rPr>
        <w:t xml:space="preserve">sensitive to </w:t>
      </w:r>
      <w:r>
        <w:rPr>
          <w:i/>
        </w:rPr>
        <w:t xml:space="preserve">increasing the </w:t>
      </w:r>
      <w:r w:rsidRPr="00A267DE">
        <w:rPr>
          <w:i/>
        </w:rPr>
        <w:t>coding rates</w:t>
      </w:r>
      <w:r>
        <w:t xml:space="preserve">. </w:t>
      </w:r>
      <w:r w:rsidRPr="002D60EA">
        <w:rPr>
          <w:i/>
        </w:rPr>
        <w:t>Gain is limited onto channels with already long delay spreads</w:t>
      </w:r>
      <w:r>
        <w:t xml:space="preserve"> </w:t>
      </w:r>
      <w:r w:rsidRPr="00710778">
        <w:rPr>
          <w:i/>
        </w:rPr>
        <w:t>and/or at high speed</w:t>
      </w:r>
      <w:r>
        <w:rPr>
          <w:i/>
        </w:rPr>
        <w:t>.</w:t>
      </w:r>
    </w:p>
    <w:p w:rsidR="0066520C" w:rsidRDefault="0066520C" w:rsidP="0066520C">
      <w:r w:rsidRPr="005D6D69">
        <w:rPr>
          <w:b/>
        </w:rPr>
        <w:t>Observation</w:t>
      </w:r>
      <w:r>
        <w:t xml:space="preserve">: </w:t>
      </w:r>
      <w:r w:rsidRPr="005D6D69">
        <w:rPr>
          <w:i/>
        </w:rPr>
        <w:t xml:space="preserve">DM-RS-transparent </w:t>
      </w:r>
      <w:r>
        <w:rPr>
          <w:i/>
        </w:rPr>
        <w:t>PVS is sensitive</w:t>
      </w:r>
      <w:r w:rsidRPr="005D6D69">
        <w:rPr>
          <w:i/>
        </w:rPr>
        <w:t xml:space="preserve"> </w:t>
      </w:r>
      <w:r>
        <w:rPr>
          <w:i/>
        </w:rPr>
        <w:t xml:space="preserve">to increased coding rates, sensitive </w:t>
      </w:r>
      <w:r w:rsidRPr="005D6D69">
        <w:rPr>
          <w:i/>
        </w:rPr>
        <w:t>at high speed</w:t>
      </w:r>
      <w:r>
        <w:rPr>
          <w:i/>
        </w:rPr>
        <w:t xml:space="preserve"> and has high DM-RS overhead at low/medium speed.</w:t>
      </w:r>
    </w:p>
    <w:p w:rsidR="0066520C" w:rsidRDefault="0066520C" w:rsidP="0066520C">
      <w:pPr>
        <w:rPr>
          <w:i/>
        </w:rPr>
      </w:pPr>
      <w:r w:rsidRPr="005258E8">
        <w:rPr>
          <w:b/>
        </w:rPr>
        <w:t>Observation</w:t>
      </w:r>
      <w:r>
        <w:t xml:space="preserve">: </w:t>
      </w:r>
      <w:r w:rsidRPr="00C174C4">
        <w:rPr>
          <w:i/>
        </w:rPr>
        <w:t>DMRS n</w:t>
      </w:r>
      <w:r w:rsidRPr="005258E8">
        <w:rPr>
          <w:i/>
        </w:rPr>
        <w:t xml:space="preserve">on-transparent </w:t>
      </w:r>
      <w:r>
        <w:rPr>
          <w:i/>
        </w:rPr>
        <w:t>PVS</w:t>
      </w:r>
      <w:r w:rsidRPr="005258E8">
        <w:rPr>
          <w:i/>
        </w:rPr>
        <w:t xml:space="preserve"> is not full-diversity achieving, is sensitive to </w:t>
      </w:r>
      <w:r>
        <w:rPr>
          <w:i/>
        </w:rPr>
        <w:t>increas</w:t>
      </w:r>
      <w:r w:rsidRPr="005258E8">
        <w:rPr>
          <w:i/>
        </w:rPr>
        <w:t xml:space="preserve">ed coding rates and it requires the same number of DM-RS resources and </w:t>
      </w:r>
      <w:r>
        <w:rPr>
          <w:i/>
        </w:rPr>
        <w:t xml:space="preserve">amount of </w:t>
      </w:r>
      <w:r w:rsidRPr="005258E8">
        <w:rPr>
          <w:i/>
        </w:rPr>
        <w:t>specification effort as Alamouti-based schemes</w:t>
      </w:r>
      <w:r>
        <w:rPr>
          <w:i/>
        </w:rPr>
        <w:t>.</w:t>
      </w:r>
    </w:p>
    <w:p w:rsidR="00FE7D8D" w:rsidRDefault="00FE7D8D" w:rsidP="00FE7D8D">
      <w:r w:rsidRPr="00FE7D8D">
        <w:rPr>
          <w:b/>
        </w:rPr>
        <w:t>Observation</w:t>
      </w:r>
      <w:r>
        <w:t xml:space="preserve">: </w:t>
      </w:r>
      <w:r w:rsidRPr="00FE7D8D">
        <w:rPr>
          <w:i/>
        </w:rPr>
        <w:t>PVS across slots is useful in mitigating large scale fading and can be easily combined with intra-slot transmit diversity such as full diversity achieving Alamouti-based schemes.</w:t>
      </w:r>
    </w:p>
    <w:p w:rsidR="0066520C" w:rsidRPr="00257034" w:rsidRDefault="0066520C" w:rsidP="0066520C"/>
    <w:p w:rsidR="00401D41" w:rsidRPr="0073662B" w:rsidRDefault="00401D41" w:rsidP="00401D41">
      <w:pPr>
        <w:rPr>
          <w:i/>
        </w:rPr>
      </w:pPr>
      <w:r w:rsidRPr="0073662B">
        <w:rPr>
          <w:b/>
        </w:rPr>
        <w:t>Proposal</w:t>
      </w:r>
      <w:r w:rsidRPr="0073662B">
        <w:t xml:space="preserve">: </w:t>
      </w:r>
      <w:r w:rsidR="0066520C" w:rsidRPr="0066520C">
        <w:rPr>
          <w:i/>
        </w:rPr>
        <w:t xml:space="preserve">Support </w:t>
      </w:r>
      <w:r w:rsidRPr="00EA59E6">
        <w:rPr>
          <w:i/>
        </w:rPr>
        <w:t>SC-SFBC</w:t>
      </w:r>
      <w:r>
        <w:t xml:space="preserve"> </w:t>
      </w:r>
      <w:r w:rsidRPr="00E74B84">
        <w:rPr>
          <w:i/>
          <w:szCs w:val="20"/>
        </w:rPr>
        <w:t xml:space="preserve">Alamouti-based transmit diversity for </w:t>
      </w:r>
      <w:r w:rsidR="00466CAF">
        <w:rPr>
          <w:i/>
          <w:iCs/>
        </w:rPr>
        <w:t>PSSCH.</w:t>
      </w:r>
    </w:p>
    <w:p w:rsidR="0049738E" w:rsidRPr="0073662B" w:rsidRDefault="0049738E">
      <w:pPr>
        <w:spacing w:after="0"/>
        <w:jc w:val="left"/>
        <w:rPr>
          <w:i/>
        </w:rPr>
      </w:pPr>
      <w:r w:rsidRPr="0073662B">
        <w:rPr>
          <w:i/>
        </w:rPr>
        <w:br w:type="page"/>
      </w:r>
    </w:p>
    <w:p w:rsidR="00160C37" w:rsidRPr="0073662B" w:rsidRDefault="00160C37" w:rsidP="00160C37">
      <w:pPr>
        <w:pBdr>
          <w:bottom w:val="single" w:sz="12" w:space="1" w:color="auto"/>
        </w:pBdr>
      </w:pPr>
    </w:p>
    <w:p w:rsidR="0049738E" w:rsidRPr="0073662B" w:rsidRDefault="0049738E" w:rsidP="00160C37">
      <w:pPr>
        <w:pStyle w:val="Titre1"/>
      </w:pPr>
      <w:r w:rsidRPr="0073662B">
        <w:t>Annex A: SC-SFBC example for M=12 subcarriers and shift p=6</w:t>
      </w:r>
    </w:p>
    <w:p w:rsidR="0049738E" w:rsidRPr="0073662B" w:rsidRDefault="0049738E" w:rsidP="0049738E"/>
    <w:p w:rsidR="0049738E" w:rsidRPr="0073662B" w:rsidRDefault="0049738E" w:rsidP="0049738E">
      <w:pPr>
        <w:keepNext/>
      </w:pPr>
      <w:r w:rsidRPr="0073662B">
        <w:rPr>
          <w:noProof/>
          <w:lang w:val="fr-FR" w:eastAsia="fr-FR"/>
        </w:rPr>
        <w:drawing>
          <wp:inline distT="0" distB="0" distL="0" distR="0">
            <wp:extent cx="5796000" cy="7358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07bis_SC-SFBC mapping.pn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5796000" cy="7358400"/>
                    </a:xfrm>
                    <a:prstGeom prst="rect">
                      <a:avLst/>
                    </a:prstGeom>
                  </pic:spPr>
                </pic:pic>
              </a:graphicData>
            </a:graphic>
          </wp:inline>
        </w:drawing>
      </w:r>
    </w:p>
    <w:p w:rsidR="0049738E" w:rsidRPr="0073662B" w:rsidRDefault="0049738E" w:rsidP="0049738E">
      <w:pPr>
        <w:pStyle w:val="Lgende"/>
      </w:pPr>
      <w:bookmarkStart w:id="8" w:name="_Ref473730707"/>
      <w:r w:rsidRPr="0073662B">
        <w:t xml:space="preserve">Figure </w:t>
      </w:r>
      <w:fldSimple w:instr=" SEQ Figure \* ARABIC ">
        <w:r w:rsidR="00E8270D">
          <w:rPr>
            <w:noProof/>
          </w:rPr>
          <w:t>6</w:t>
        </w:r>
      </w:fldSimple>
      <w:bookmarkEnd w:id="8"/>
      <w:r w:rsidRPr="0073662B">
        <w:t xml:space="preserve"> - SC-SFBC example for M=12 subcarriers and shift p=6</w:t>
      </w:r>
    </w:p>
    <w:p w:rsidR="0049738E" w:rsidRPr="0073662B" w:rsidRDefault="0049738E" w:rsidP="0049738E"/>
    <w:p w:rsidR="0049738E" w:rsidRPr="0073662B" w:rsidRDefault="00CB2E4D" w:rsidP="0049738E">
      <w:pPr>
        <w:keepNext/>
      </w:pPr>
      <w:r w:rsidRPr="0073662B">
        <w:rPr>
          <w:noProof/>
          <w:lang w:val="fr-FR" w:eastAsia="fr-FR"/>
        </w:rPr>
        <w:lastRenderedPageBreak/>
        <w:drawing>
          <wp:inline distT="0" distB="0" distL="0" distR="0">
            <wp:extent cx="6145200" cy="8236800"/>
            <wp:effectExtent l="0" t="0" r="825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ig07bis_SC-SFBC mapping_constequiv.png"/>
                    <pic:cNvPicPr/>
                  </pic:nvPicPr>
                  <pic:blipFill>
                    <a:blip r:embed="rId41" cstate="print">
                      <a:extLst>
                        <a:ext uri="{28A0092B-C50C-407E-A947-70E740481C1C}">
                          <a14:useLocalDpi xmlns:a14="http://schemas.microsoft.com/office/drawing/2010/main" val="0"/>
                        </a:ext>
                      </a:extLst>
                    </a:blip>
                    <a:stretch>
                      <a:fillRect/>
                    </a:stretch>
                  </pic:blipFill>
                  <pic:spPr>
                    <a:xfrm>
                      <a:off x="0" y="0"/>
                      <a:ext cx="6145200" cy="8236800"/>
                    </a:xfrm>
                    <a:prstGeom prst="rect">
                      <a:avLst/>
                    </a:prstGeom>
                  </pic:spPr>
                </pic:pic>
              </a:graphicData>
            </a:graphic>
          </wp:inline>
        </w:drawing>
      </w:r>
    </w:p>
    <w:p w:rsidR="0049738E" w:rsidRPr="0073662B" w:rsidRDefault="0049738E" w:rsidP="0049738E">
      <w:pPr>
        <w:pStyle w:val="Lgende"/>
      </w:pPr>
      <w:bookmarkStart w:id="9" w:name="_Ref473731266"/>
      <w:r w:rsidRPr="0073662B">
        <w:t xml:space="preserve">Figure </w:t>
      </w:r>
      <w:fldSimple w:instr=" SEQ Figure \* ARABIC ">
        <w:r w:rsidR="00E8270D">
          <w:rPr>
            <w:noProof/>
          </w:rPr>
          <w:t>7</w:t>
        </w:r>
      </w:fldSimple>
      <w:bookmarkEnd w:id="9"/>
      <w:r w:rsidRPr="0073662B">
        <w:t xml:space="preserve"> - SC-SFBC example for M=12 subcarriers and shift p=6: equivalence with time-domain representation</w:t>
      </w:r>
    </w:p>
    <w:p w:rsidR="0049738E" w:rsidRPr="0073662B" w:rsidRDefault="0049738E">
      <w:pPr>
        <w:spacing w:after="0"/>
        <w:jc w:val="left"/>
      </w:pPr>
      <w:r w:rsidRPr="0073662B">
        <w:br w:type="page"/>
      </w:r>
    </w:p>
    <w:p w:rsidR="004B3743" w:rsidRPr="0073662B" w:rsidRDefault="004B3743" w:rsidP="004B3743">
      <w:pPr>
        <w:pBdr>
          <w:bottom w:val="single" w:sz="12" w:space="1" w:color="auto"/>
        </w:pBdr>
      </w:pPr>
    </w:p>
    <w:p w:rsidR="0049738E" w:rsidRPr="002147D0" w:rsidRDefault="0049738E" w:rsidP="0049738E">
      <w:pPr>
        <w:pStyle w:val="Titre1"/>
      </w:pPr>
      <w:r w:rsidRPr="002147D0">
        <w:t>References</w:t>
      </w:r>
    </w:p>
    <w:p w:rsidR="00E8270D" w:rsidRDefault="00E8270D" w:rsidP="00257DF3">
      <w:pPr>
        <w:pStyle w:val="Titre3"/>
        <w:numPr>
          <w:ilvl w:val="0"/>
          <w:numId w:val="10"/>
        </w:numPr>
      </w:pPr>
      <w:bookmarkStart w:id="10" w:name="_Ref506373676"/>
      <w:bookmarkStart w:id="11" w:name="_Ref498549168"/>
      <w:bookmarkStart w:id="12" w:name="_Ref477366453"/>
      <w:bookmarkStart w:id="13" w:name="_Ref468982085"/>
      <w:bookmarkStart w:id="14" w:name="_Ref461457447"/>
      <w:bookmarkStart w:id="15" w:name="_Ref457744160"/>
      <w:bookmarkStart w:id="16" w:name="_Ref468983461"/>
      <w:bookmarkStart w:id="17" w:name="_Ref510521092"/>
      <w:r>
        <w:t>Chairman’s notes, RAN1 #92, Athens, Greece, February 2018.</w:t>
      </w:r>
      <w:bookmarkEnd w:id="17"/>
    </w:p>
    <w:p w:rsidR="00574224" w:rsidRDefault="00574224" w:rsidP="00257DF3">
      <w:pPr>
        <w:pStyle w:val="Titre3"/>
        <w:numPr>
          <w:ilvl w:val="0"/>
          <w:numId w:val="10"/>
        </w:numPr>
      </w:pPr>
      <w:bookmarkStart w:id="18" w:name="_Ref510521112"/>
      <w:r>
        <w:t>Chairman’s notes, RAN1 #91, Reno, NV, USA, November 2017.</w:t>
      </w:r>
      <w:bookmarkEnd w:id="10"/>
      <w:bookmarkEnd w:id="18"/>
    </w:p>
    <w:p w:rsidR="00BB7983" w:rsidRDefault="00BB7983" w:rsidP="00257DF3">
      <w:pPr>
        <w:pStyle w:val="Titre3"/>
        <w:numPr>
          <w:ilvl w:val="0"/>
          <w:numId w:val="10"/>
        </w:numPr>
      </w:pPr>
      <w:bookmarkStart w:id="19" w:name="_Ref506373666"/>
      <w:r w:rsidRPr="0073662B">
        <w:t xml:space="preserve">Chairman’s notes, RAN1 </w:t>
      </w:r>
      <w:r>
        <w:t>#90b</w:t>
      </w:r>
      <w:r w:rsidRPr="0073662B">
        <w:t xml:space="preserve">, </w:t>
      </w:r>
      <w:r>
        <w:t>Prague, Czech Republic, October</w:t>
      </w:r>
      <w:r w:rsidRPr="0073662B">
        <w:t xml:space="preserve"> 2017.</w:t>
      </w:r>
      <w:bookmarkEnd w:id="11"/>
      <w:bookmarkEnd w:id="19"/>
    </w:p>
    <w:p w:rsidR="00D528CE" w:rsidRDefault="0049738E" w:rsidP="00D528CE">
      <w:pPr>
        <w:pStyle w:val="Titre3"/>
        <w:numPr>
          <w:ilvl w:val="0"/>
          <w:numId w:val="10"/>
        </w:numPr>
      </w:pPr>
      <w:bookmarkStart w:id="20" w:name="_Ref498549160"/>
      <w:r w:rsidRPr="0073662B">
        <w:t xml:space="preserve">Chairman’s notes, RAN1 </w:t>
      </w:r>
      <w:r w:rsidR="00145316">
        <w:t>#90</w:t>
      </w:r>
      <w:r w:rsidRPr="0073662B">
        <w:t xml:space="preserve">, </w:t>
      </w:r>
      <w:r w:rsidR="00145316">
        <w:t>Prague, Czech Republic, August</w:t>
      </w:r>
      <w:r w:rsidR="00217FBC" w:rsidRPr="0073662B">
        <w:t xml:space="preserve"> 201</w:t>
      </w:r>
      <w:r w:rsidRPr="0073662B">
        <w:t>7</w:t>
      </w:r>
      <w:r w:rsidR="00217FBC" w:rsidRPr="0073662B">
        <w:t>.</w:t>
      </w:r>
      <w:bookmarkStart w:id="21" w:name="_Ref477366465"/>
      <w:bookmarkStart w:id="22" w:name="_Ref481586870"/>
      <w:bookmarkEnd w:id="12"/>
      <w:bookmarkEnd w:id="20"/>
    </w:p>
    <w:p w:rsidR="00BF387B" w:rsidRDefault="00BF387B" w:rsidP="00BF387B">
      <w:pPr>
        <w:pStyle w:val="Titre3"/>
        <w:numPr>
          <w:ilvl w:val="0"/>
          <w:numId w:val="10"/>
        </w:numPr>
      </w:pPr>
      <w:bookmarkStart w:id="23" w:name="_Ref494384543"/>
      <w:bookmarkStart w:id="24" w:name="_Ref494382715"/>
      <w:r w:rsidRPr="00BF387B">
        <w:t>R1-1715555</w:t>
      </w:r>
      <w:r>
        <w:t xml:space="preserve">, </w:t>
      </w:r>
      <w:r w:rsidRPr="00BF387B">
        <w:t>UL diversity transmission for DFTsOFDM</w:t>
      </w:r>
      <w:r>
        <w:t xml:space="preserve">, </w:t>
      </w:r>
      <w:r w:rsidRPr="00BF387B">
        <w:t>Mitsubishi Electric</w:t>
      </w:r>
      <w:r>
        <w:t>, RAN1 NR AH#03, Nagoya, September 2017.</w:t>
      </w:r>
      <w:bookmarkEnd w:id="23"/>
    </w:p>
    <w:p w:rsidR="00BF387B" w:rsidRDefault="00BF387B" w:rsidP="00BF387B">
      <w:pPr>
        <w:pStyle w:val="Titre3"/>
        <w:numPr>
          <w:ilvl w:val="0"/>
          <w:numId w:val="10"/>
        </w:numPr>
      </w:pPr>
      <w:bookmarkStart w:id="25" w:name="_Ref494384545"/>
      <w:r>
        <w:t xml:space="preserve">R1-1716237, </w:t>
      </w:r>
      <w:r w:rsidRPr="00BF387B">
        <w:t>Transmit diversity for DFTsOF</w:t>
      </w:r>
      <w:r>
        <w:t xml:space="preserve">DM-based PUCCH in long duration, </w:t>
      </w:r>
      <w:r w:rsidRPr="00BF387B">
        <w:t>Mitsubishi Electric RCE</w:t>
      </w:r>
      <w:r>
        <w:t>, RAN1 NR AH#03, Nagoya, September 2017.</w:t>
      </w:r>
      <w:bookmarkEnd w:id="25"/>
    </w:p>
    <w:p w:rsidR="00BF387B" w:rsidRDefault="00BF387B" w:rsidP="00BF387B">
      <w:pPr>
        <w:pStyle w:val="Titre3"/>
        <w:numPr>
          <w:ilvl w:val="0"/>
          <w:numId w:val="10"/>
        </w:numPr>
      </w:pPr>
      <w:bookmarkStart w:id="26" w:name="_Ref494384547"/>
      <w:r>
        <w:t xml:space="preserve">R1-1716177, </w:t>
      </w:r>
      <w:r w:rsidRPr="00BF387B">
        <w:t>On UL Diversity b</w:t>
      </w:r>
      <w:r>
        <w:t xml:space="preserve">ased Transmission Scheme for NR, </w:t>
      </w:r>
      <w:r w:rsidRPr="00BF387B">
        <w:t>AT&amp;T</w:t>
      </w:r>
      <w:r>
        <w:t>,</w:t>
      </w:r>
      <w:r w:rsidRPr="00BF387B">
        <w:t xml:space="preserve"> </w:t>
      </w:r>
      <w:r>
        <w:t>RAN1 NR AH#03, Nagoya, September 2017.</w:t>
      </w:r>
      <w:bookmarkEnd w:id="26"/>
    </w:p>
    <w:p w:rsidR="00A73861" w:rsidRDefault="00BF387B" w:rsidP="00BF387B">
      <w:pPr>
        <w:pStyle w:val="Titre3"/>
        <w:numPr>
          <w:ilvl w:val="0"/>
          <w:numId w:val="10"/>
        </w:numPr>
      </w:pPr>
      <w:bookmarkStart w:id="27" w:name="_Ref506393555"/>
      <w:bookmarkStart w:id="28" w:name="_Ref494384549"/>
      <w:r>
        <w:t xml:space="preserve">R1-1716390, </w:t>
      </w:r>
      <w:r w:rsidRPr="00BF387B">
        <w:t>On U</w:t>
      </w:r>
      <w:r>
        <w:t xml:space="preserve">L diversity transmission scheme, </w:t>
      </w:r>
      <w:r w:rsidRPr="00BF387B">
        <w:t>Qualcomm Incorporate</w:t>
      </w:r>
      <w:r>
        <w:t>d, RAN1 NR AH#03, Nagoya, September 2017</w:t>
      </w:r>
      <w:r w:rsidR="00A73861">
        <w:t>.</w:t>
      </w:r>
      <w:bookmarkEnd w:id="27"/>
    </w:p>
    <w:p w:rsidR="000C305B" w:rsidRPr="000C305B" w:rsidRDefault="000E0029" w:rsidP="000E0029">
      <w:pPr>
        <w:pStyle w:val="Titre3"/>
        <w:numPr>
          <w:ilvl w:val="0"/>
          <w:numId w:val="10"/>
        </w:numPr>
      </w:pPr>
      <w:bookmarkStart w:id="29" w:name="_Ref494386233"/>
      <w:r w:rsidRPr="000E0029">
        <w:t>R1-</w:t>
      </w:r>
      <w:r w:rsidR="003F487B">
        <w:t>1802251</w:t>
      </w:r>
      <w:r w:rsidR="00A73861" w:rsidRPr="000E0029">
        <w:t xml:space="preserve">, </w:t>
      </w:r>
      <w:r w:rsidR="00A73861" w:rsidRPr="000E0029">
        <w:rPr>
          <w:rFonts w:asciiTheme="majorHAnsi" w:hAnsiTheme="majorHAnsi" w:cstheme="majorHAnsi"/>
        </w:rPr>
        <w:t xml:space="preserve">Low PAPR SFBC evaluations for </w:t>
      </w:r>
      <w:r w:rsidRPr="000E0029">
        <w:rPr>
          <w:rFonts w:asciiTheme="majorHAnsi" w:hAnsiTheme="majorHAnsi" w:cstheme="majorHAnsi"/>
        </w:rPr>
        <w:t>PSSCH</w:t>
      </w:r>
      <w:r w:rsidR="00A73861" w:rsidRPr="000E0029">
        <w:rPr>
          <w:rFonts w:asciiTheme="majorHAnsi" w:hAnsiTheme="majorHAnsi" w:cstheme="majorHAnsi"/>
        </w:rPr>
        <w:t>, Mitsubishi Electric, RAN1#9</w:t>
      </w:r>
      <w:r w:rsidR="003F487B">
        <w:rPr>
          <w:rFonts w:asciiTheme="majorHAnsi" w:hAnsiTheme="majorHAnsi" w:cstheme="majorHAnsi"/>
        </w:rPr>
        <w:t>2</w:t>
      </w:r>
      <w:r w:rsidR="00A73861" w:rsidRPr="000E0029">
        <w:rPr>
          <w:rFonts w:asciiTheme="majorHAnsi" w:hAnsiTheme="majorHAnsi" w:cstheme="majorHAnsi"/>
        </w:rPr>
        <w:t xml:space="preserve">, </w:t>
      </w:r>
      <w:r w:rsidR="003F487B">
        <w:rPr>
          <w:rFonts w:asciiTheme="majorHAnsi" w:hAnsiTheme="majorHAnsi" w:cstheme="majorHAnsi"/>
        </w:rPr>
        <w:t>Athens, February 2018</w:t>
      </w:r>
      <w:r w:rsidR="000C305B">
        <w:rPr>
          <w:rFonts w:asciiTheme="majorHAnsi" w:hAnsiTheme="majorHAnsi" w:cstheme="majorHAnsi"/>
        </w:rPr>
        <w:t>.</w:t>
      </w:r>
    </w:p>
    <w:p w:rsidR="000E0029" w:rsidRPr="000E0029" w:rsidRDefault="000C305B" w:rsidP="000E0029">
      <w:pPr>
        <w:pStyle w:val="Titre3"/>
        <w:numPr>
          <w:ilvl w:val="0"/>
          <w:numId w:val="10"/>
        </w:numPr>
      </w:pPr>
      <w:bookmarkStart w:id="30" w:name="_Ref510533688"/>
      <w:r w:rsidRPr="000E0029">
        <w:t>R1-</w:t>
      </w:r>
      <w:r>
        <w:t>180</w:t>
      </w:r>
      <w:r>
        <w:t>4040</w:t>
      </w:r>
      <w:r w:rsidRPr="000E0029">
        <w:t xml:space="preserve">, </w:t>
      </w:r>
      <w:r w:rsidRPr="000E0029">
        <w:rPr>
          <w:rFonts w:asciiTheme="majorHAnsi" w:hAnsiTheme="majorHAnsi" w:cstheme="majorHAnsi"/>
        </w:rPr>
        <w:t>Low PAPR SFBC evaluations for PSSCH, Mitsubishi Electric, RAN1#9</w:t>
      </w:r>
      <w:r>
        <w:rPr>
          <w:rFonts w:asciiTheme="majorHAnsi" w:hAnsiTheme="majorHAnsi" w:cstheme="majorHAnsi"/>
        </w:rPr>
        <w:t>2</w:t>
      </w:r>
      <w:r>
        <w:rPr>
          <w:rFonts w:asciiTheme="majorHAnsi" w:hAnsiTheme="majorHAnsi" w:cstheme="majorHAnsi"/>
        </w:rPr>
        <w:t>b</w:t>
      </w:r>
      <w:r w:rsidRPr="000E0029">
        <w:rPr>
          <w:rFonts w:asciiTheme="majorHAnsi" w:hAnsiTheme="majorHAnsi" w:cstheme="majorHAnsi"/>
        </w:rPr>
        <w:t xml:space="preserve">, </w:t>
      </w:r>
      <w:r>
        <w:rPr>
          <w:rFonts w:asciiTheme="majorHAnsi" w:hAnsiTheme="majorHAnsi" w:cstheme="majorHAnsi"/>
        </w:rPr>
        <w:t>Sanya</w:t>
      </w:r>
      <w:r>
        <w:rPr>
          <w:rFonts w:asciiTheme="majorHAnsi" w:hAnsiTheme="majorHAnsi" w:cstheme="majorHAnsi"/>
        </w:rPr>
        <w:t>, February 2018</w:t>
      </w:r>
      <w:r w:rsidR="000E0029">
        <w:rPr>
          <w:rFonts w:asciiTheme="majorHAnsi" w:hAnsiTheme="majorHAnsi" w:cstheme="majorHAnsi"/>
        </w:rPr>
        <w:t>.</w:t>
      </w:r>
      <w:bookmarkEnd w:id="30"/>
    </w:p>
    <w:p w:rsidR="000E0029" w:rsidRPr="000E0029" w:rsidRDefault="000E0029" w:rsidP="000E0029">
      <w:pPr>
        <w:pStyle w:val="Titre3"/>
        <w:numPr>
          <w:ilvl w:val="0"/>
          <w:numId w:val="10"/>
        </w:numPr>
      </w:pPr>
      <w:r w:rsidRPr="00DA2C74">
        <w:t>R1-1717757</w:t>
      </w:r>
      <w:r>
        <w:t xml:space="preserve">, </w:t>
      </w:r>
      <w:r>
        <w:rPr>
          <w:rFonts w:asciiTheme="majorHAnsi" w:hAnsiTheme="majorHAnsi" w:cstheme="majorHAnsi"/>
        </w:rPr>
        <w:t xml:space="preserve">Low PAPR SFBC for V2X transmit diversity, </w:t>
      </w:r>
      <w:r w:rsidRPr="000E0029">
        <w:rPr>
          <w:rFonts w:asciiTheme="majorHAnsi" w:hAnsiTheme="majorHAnsi" w:cstheme="majorHAnsi"/>
        </w:rPr>
        <w:t>Mitsubishi Electric, RAN1#90b, Prague, October 2017</w:t>
      </w:r>
      <w:r w:rsidR="00D528CE" w:rsidRPr="000E0029">
        <w:t>.</w:t>
      </w:r>
      <w:bookmarkEnd w:id="24"/>
      <w:bookmarkEnd w:id="28"/>
      <w:bookmarkEnd w:id="29"/>
    </w:p>
    <w:p w:rsidR="00DC1EC2" w:rsidRPr="0073662B" w:rsidRDefault="0049738E" w:rsidP="0049738E">
      <w:pPr>
        <w:pStyle w:val="Titre3"/>
        <w:numPr>
          <w:ilvl w:val="0"/>
          <w:numId w:val="10"/>
        </w:numPr>
      </w:pPr>
      <w:bookmarkStart w:id="31" w:name="_Ref492582194"/>
      <w:bookmarkStart w:id="32" w:name="_Ref468984773"/>
      <w:bookmarkEnd w:id="13"/>
      <w:bookmarkEnd w:id="14"/>
      <w:bookmarkEnd w:id="15"/>
      <w:bookmarkEnd w:id="16"/>
      <w:bookmarkEnd w:id="21"/>
      <w:bookmarkEnd w:id="22"/>
      <w:r w:rsidRPr="0073662B">
        <w:t>C. Ciochina, D. Castelain, D. Mottier and H. Sari, “A Space-Frequency Block Code for Single-Carrier FDMA,” Electronics Letters 44(11):690 - 691 February 2008</w:t>
      </w:r>
      <w:r w:rsidR="00DC1EC2" w:rsidRPr="0073662B">
        <w:t>.</w:t>
      </w:r>
      <w:bookmarkEnd w:id="31"/>
    </w:p>
    <w:p w:rsidR="00A47F71" w:rsidRDefault="00DC1EC2" w:rsidP="0049738E">
      <w:pPr>
        <w:pStyle w:val="Titre3"/>
        <w:numPr>
          <w:ilvl w:val="0"/>
          <w:numId w:val="10"/>
        </w:numPr>
      </w:pPr>
      <w:bookmarkStart w:id="33" w:name="_Ref492582210"/>
      <w:bookmarkStart w:id="34" w:name="_Ref477358745"/>
      <w:bookmarkStart w:id="35" w:name="_Ref492574046"/>
      <w:r w:rsidRPr="0073662B">
        <w:t>X. Luo, P. Gaal, W. Chen, X. Zhang</w:t>
      </w:r>
      <w:r w:rsidR="0049738E" w:rsidRPr="0073662B">
        <w:t>.</w:t>
      </w:r>
      <w:r w:rsidRPr="0073662B">
        <w:t xml:space="preserve"> And J. Montojo, “Transmit Diversity Scheme over Single SC-FDM Symbol for LTE-Advanced,” GLOBECOM 2009</w:t>
      </w:r>
      <w:r w:rsidR="00A47F71">
        <w:t>.</w:t>
      </w:r>
      <w:bookmarkEnd w:id="33"/>
    </w:p>
    <w:bookmarkEnd w:id="32"/>
    <w:bookmarkEnd w:id="34"/>
    <w:bookmarkEnd w:id="35"/>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743" w:rsidRDefault="00E25743" w:rsidP="00A81622">
      <w:r>
        <w:separator/>
      </w:r>
    </w:p>
  </w:endnote>
  <w:endnote w:type="continuationSeparator" w:id="0">
    <w:p w:rsidR="00E25743" w:rsidRDefault="00E25743" w:rsidP="00A81622">
      <w:r>
        <w:continuationSeparator/>
      </w:r>
    </w:p>
  </w:endnote>
  <w:endnote w:type="continuationNotice" w:id="1">
    <w:p w:rsidR="00E25743" w:rsidRDefault="00E25743"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743" w:rsidRDefault="00E25743" w:rsidP="00A81622">
      <w:r>
        <w:separator/>
      </w:r>
    </w:p>
  </w:footnote>
  <w:footnote w:type="continuationSeparator" w:id="0">
    <w:p w:rsidR="00E25743" w:rsidRDefault="00E25743" w:rsidP="00A81622">
      <w:r>
        <w:continuationSeparator/>
      </w:r>
    </w:p>
  </w:footnote>
  <w:footnote w:type="continuationNotice" w:id="1">
    <w:p w:rsidR="00E25743" w:rsidRDefault="00E25743"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D4BC5"/>
    <w:multiLevelType w:val="hybridMultilevel"/>
    <w:tmpl w:val="8D126C94"/>
    <w:lvl w:ilvl="0" w:tplc="7FDC7A12">
      <w:start w:val="4"/>
      <w:numFmt w:val="bullet"/>
      <w:lvlText w:val="-"/>
      <w:lvlJc w:val="left"/>
      <w:pPr>
        <w:ind w:left="1069" w:hanging="360"/>
      </w:pPr>
      <w:rPr>
        <w:rFonts w:ascii="Times New Roman" w:eastAsia="MS Gothic" w:hAnsi="Times New Roman" w:cs="Times New Roman" w:hint="default"/>
        <w:i/>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356E0"/>
    <w:multiLevelType w:val="hybridMultilevel"/>
    <w:tmpl w:val="C5F01B02"/>
    <w:lvl w:ilvl="0" w:tplc="69A4306A">
      <w:start w:val="7"/>
      <w:numFmt w:val="bullet"/>
      <w:lvlText w:val="-"/>
      <w:lvlJc w:val="left"/>
      <w:pPr>
        <w:ind w:left="360" w:hanging="360"/>
      </w:pPr>
      <w:rPr>
        <w:rFonts w:ascii="Times New Roman" w:eastAsia="MS Mincho"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B81992"/>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1"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43F3D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BE6F7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C473E40"/>
    <w:multiLevelType w:val="hybridMultilevel"/>
    <w:tmpl w:val="C786FFD6"/>
    <w:lvl w:ilvl="0" w:tplc="752C87D4">
      <w:start w:val="1"/>
      <w:numFmt w:val="bullet"/>
      <w:lvlText w:val="•"/>
      <w:lvlJc w:val="left"/>
      <w:pPr>
        <w:tabs>
          <w:tab w:val="num" w:pos="360"/>
        </w:tabs>
        <w:ind w:left="360" w:hanging="360"/>
      </w:pPr>
      <w:rPr>
        <w:rFonts w:ascii="Arial" w:hAnsi="Arial" w:cs="Times New Roman" w:hint="default"/>
      </w:rPr>
    </w:lvl>
    <w:lvl w:ilvl="1" w:tplc="3530ED92">
      <w:numFmt w:val="bullet"/>
      <w:lvlText w:val="–"/>
      <w:lvlJc w:val="left"/>
      <w:pPr>
        <w:tabs>
          <w:tab w:val="num" w:pos="1080"/>
        </w:tabs>
        <w:ind w:left="1080" w:hanging="360"/>
      </w:pPr>
      <w:rPr>
        <w:rFonts w:ascii="Arial" w:hAnsi="Arial" w:cs="Times New Roman" w:hint="default"/>
      </w:rPr>
    </w:lvl>
    <w:lvl w:ilvl="2" w:tplc="BB3A501A">
      <w:start w:val="1"/>
      <w:numFmt w:val="bullet"/>
      <w:lvlText w:val="•"/>
      <w:lvlJc w:val="left"/>
      <w:pPr>
        <w:tabs>
          <w:tab w:val="num" w:pos="1800"/>
        </w:tabs>
        <w:ind w:left="1800" w:hanging="360"/>
      </w:pPr>
      <w:rPr>
        <w:rFonts w:ascii="Arial" w:hAnsi="Arial" w:cs="Times New Roman" w:hint="default"/>
      </w:rPr>
    </w:lvl>
    <w:lvl w:ilvl="3" w:tplc="59A68F38">
      <w:start w:val="1"/>
      <w:numFmt w:val="bullet"/>
      <w:lvlText w:val="•"/>
      <w:lvlJc w:val="left"/>
      <w:pPr>
        <w:tabs>
          <w:tab w:val="num" w:pos="2520"/>
        </w:tabs>
        <w:ind w:left="2520" w:hanging="360"/>
      </w:pPr>
      <w:rPr>
        <w:rFonts w:ascii="Arial" w:hAnsi="Arial" w:cs="Times New Roman" w:hint="default"/>
      </w:rPr>
    </w:lvl>
    <w:lvl w:ilvl="4" w:tplc="CD68B4FE">
      <w:start w:val="1"/>
      <w:numFmt w:val="bullet"/>
      <w:lvlText w:val="•"/>
      <w:lvlJc w:val="left"/>
      <w:pPr>
        <w:tabs>
          <w:tab w:val="num" w:pos="3240"/>
        </w:tabs>
        <w:ind w:left="3240" w:hanging="360"/>
      </w:pPr>
      <w:rPr>
        <w:rFonts w:ascii="Arial" w:hAnsi="Arial" w:cs="Times New Roman" w:hint="default"/>
      </w:rPr>
    </w:lvl>
    <w:lvl w:ilvl="5" w:tplc="09AC630E">
      <w:start w:val="1"/>
      <w:numFmt w:val="bullet"/>
      <w:lvlText w:val="•"/>
      <w:lvlJc w:val="left"/>
      <w:pPr>
        <w:tabs>
          <w:tab w:val="num" w:pos="3960"/>
        </w:tabs>
        <w:ind w:left="3960" w:hanging="360"/>
      </w:pPr>
      <w:rPr>
        <w:rFonts w:ascii="Arial" w:hAnsi="Arial" w:cs="Times New Roman" w:hint="default"/>
      </w:rPr>
    </w:lvl>
    <w:lvl w:ilvl="6" w:tplc="831AF21C">
      <w:start w:val="1"/>
      <w:numFmt w:val="bullet"/>
      <w:lvlText w:val="•"/>
      <w:lvlJc w:val="left"/>
      <w:pPr>
        <w:tabs>
          <w:tab w:val="num" w:pos="4680"/>
        </w:tabs>
        <w:ind w:left="4680" w:hanging="360"/>
      </w:pPr>
      <w:rPr>
        <w:rFonts w:ascii="Arial" w:hAnsi="Arial" w:cs="Times New Roman" w:hint="default"/>
      </w:rPr>
    </w:lvl>
    <w:lvl w:ilvl="7" w:tplc="9CE0ABFE">
      <w:start w:val="1"/>
      <w:numFmt w:val="bullet"/>
      <w:lvlText w:val="•"/>
      <w:lvlJc w:val="left"/>
      <w:pPr>
        <w:tabs>
          <w:tab w:val="num" w:pos="5400"/>
        </w:tabs>
        <w:ind w:left="5400" w:hanging="360"/>
      </w:pPr>
      <w:rPr>
        <w:rFonts w:ascii="Arial" w:hAnsi="Arial" w:cs="Times New Roman" w:hint="default"/>
      </w:rPr>
    </w:lvl>
    <w:lvl w:ilvl="8" w:tplc="AD5063F4">
      <w:start w:val="1"/>
      <w:numFmt w:val="bullet"/>
      <w:lvlText w:val="•"/>
      <w:lvlJc w:val="left"/>
      <w:pPr>
        <w:tabs>
          <w:tab w:val="num" w:pos="6120"/>
        </w:tabs>
        <w:ind w:left="6120" w:hanging="360"/>
      </w:pPr>
      <w:rPr>
        <w:rFonts w:ascii="Arial" w:hAnsi="Arial" w:cs="Times New Roman" w:hint="default"/>
      </w:rPr>
    </w:lvl>
  </w:abstractNum>
  <w:abstractNum w:abstractNumId="37"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40"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7F49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B4A1E6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45" w15:restartNumberingAfterBreak="0">
    <w:nsid w:val="7FFD6806"/>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2"/>
  </w:num>
  <w:num w:numId="3">
    <w:abstractNumId w:val="38"/>
  </w:num>
  <w:num w:numId="4">
    <w:abstractNumId w:val="14"/>
  </w:num>
  <w:num w:numId="5">
    <w:abstractNumId w:val="43"/>
  </w:num>
  <w:num w:numId="6">
    <w:abstractNumId w:val="5"/>
  </w:num>
  <w:num w:numId="7">
    <w:abstractNumId w:val="21"/>
  </w:num>
  <w:num w:numId="8">
    <w:abstractNumId w:val="28"/>
  </w:num>
  <w:num w:numId="9">
    <w:abstractNumId w:val="7"/>
  </w:num>
  <w:num w:numId="10">
    <w:abstractNumId w:val="11"/>
  </w:num>
  <w:num w:numId="11">
    <w:abstractNumId w:val="1"/>
  </w:num>
  <w:num w:numId="12">
    <w:abstractNumId w:val="44"/>
  </w:num>
  <w:num w:numId="13">
    <w:abstractNumId w:val="20"/>
  </w:num>
  <w:num w:numId="14">
    <w:abstractNumId w:val="31"/>
  </w:num>
  <w:num w:numId="15">
    <w:abstractNumId w:val="39"/>
  </w:num>
  <w:num w:numId="16">
    <w:abstractNumId w:val="9"/>
  </w:num>
  <w:num w:numId="17">
    <w:abstractNumId w:val="4"/>
  </w:num>
  <w:num w:numId="18">
    <w:abstractNumId w:val="3"/>
  </w:num>
  <w:num w:numId="19">
    <w:abstractNumId w:val="40"/>
  </w:num>
  <w:num w:numId="20">
    <w:abstractNumId w:val="12"/>
  </w:num>
  <w:num w:numId="21">
    <w:abstractNumId w:val="27"/>
  </w:num>
  <w:num w:numId="22">
    <w:abstractNumId w:val="6"/>
  </w:num>
  <w:num w:numId="23">
    <w:abstractNumId w:val="38"/>
  </w:num>
  <w:num w:numId="24">
    <w:abstractNumId w:val="30"/>
  </w:num>
  <w:num w:numId="25">
    <w:abstractNumId w:val="13"/>
  </w:num>
  <w:num w:numId="26">
    <w:abstractNumId w:val="17"/>
  </w:num>
  <w:num w:numId="27">
    <w:abstractNumId w:val="23"/>
  </w:num>
  <w:num w:numId="28">
    <w:abstractNumId w:val="37"/>
  </w:num>
  <w:num w:numId="29">
    <w:abstractNumId w:val="29"/>
  </w:num>
  <w:num w:numId="30">
    <w:abstractNumId w:val="34"/>
  </w:num>
  <w:num w:numId="31">
    <w:abstractNumId w:val="19"/>
  </w:num>
  <w:num w:numId="32">
    <w:abstractNumId w:val="24"/>
  </w:num>
  <w:num w:numId="33">
    <w:abstractNumId w:val="8"/>
  </w:num>
  <w:num w:numId="34">
    <w:abstractNumId w:val="26"/>
  </w:num>
  <w:num w:numId="35">
    <w:abstractNumId w:val="35"/>
  </w:num>
  <w:num w:numId="36">
    <w:abstractNumId w:val="42"/>
  </w:num>
  <w:num w:numId="37">
    <w:abstractNumId w:val="45"/>
  </w:num>
  <w:num w:numId="38">
    <w:abstractNumId w:val="41"/>
  </w:num>
  <w:num w:numId="39">
    <w:abstractNumId w:val="16"/>
  </w:num>
  <w:num w:numId="40">
    <w:abstractNumId w:val="18"/>
  </w:num>
  <w:num w:numId="41">
    <w:abstractNumId w:val="10"/>
  </w:num>
  <w:num w:numId="42">
    <w:abstractNumId w:val="33"/>
  </w:num>
  <w:num w:numId="43">
    <w:abstractNumId w:val="2"/>
  </w:num>
  <w:num w:numId="44">
    <w:abstractNumId w:val="22"/>
  </w:num>
  <w:num w:numId="45">
    <w:abstractNumId w:val="25"/>
  </w:num>
  <w:num w:numId="46">
    <w:abstractNumId w:val="15"/>
  </w:num>
  <w:num w:numId="47">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1FB"/>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AF0"/>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66A5"/>
    <w:rsid w:val="00077AFB"/>
    <w:rsid w:val="00080237"/>
    <w:rsid w:val="000804DC"/>
    <w:rsid w:val="00080661"/>
    <w:rsid w:val="0008099E"/>
    <w:rsid w:val="000813DF"/>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6D74"/>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1B00"/>
    <w:rsid w:val="000C2088"/>
    <w:rsid w:val="000C26DF"/>
    <w:rsid w:val="000C2C6D"/>
    <w:rsid w:val="000C305B"/>
    <w:rsid w:val="000C3933"/>
    <w:rsid w:val="000C3F67"/>
    <w:rsid w:val="000C44B0"/>
    <w:rsid w:val="000C4838"/>
    <w:rsid w:val="000C5723"/>
    <w:rsid w:val="000C6405"/>
    <w:rsid w:val="000D0A1A"/>
    <w:rsid w:val="000D16BE"/>
    <w:rsid w:val="000D189C"/>
    <w:rsid w:val="000D1EFE"/>
    <w:rsid w:val="000D2AB6"/>
    <w:rsid w:val="000D3410"/>
    <w:rsid w:val="000D46A3"/>
    <w:rsid w:val="000D4B39"/>
    <w:rsid w:val="000D5010"/>
    <w:rsid w:val="000D529F"/>
    <w:rsid w:val="000D52C0"/>
    <w:rsid w:val="000D5E90"/>
    <w:rsid w:val="000D65BE"/>
    <w:rsid w:val="000D662C"/>
    <w:rsid w:val="000D7199"/>
    <w:rsid w:val="000D7509"/>
    <w:rsid w:val="000D7ABD"/>
    <w:rsid w:val="000E0029"/>
    <w:rsid w:val="000E041D"/>
    <w:rsid w:val="000E0435"/>
    <w:rsid w:val="000E11E0"/>
    <w:rsid w:val="000E160A"/>
    <w:rsid w:val="000E1BB9"/>
    <w:rsid w:val="000E1BEB"/>
    <w:rsid w:val="000E21AB"/>
    <w:rsid w:val="000E2247"/>
    <w:rsid w:val="000E34D8"/>
    <w:rsid w:val="000E57C1"/>
    <w:rsid w:val="000E5E92"/>
    <w:rsid w:val="000E6280"/>
    <w:rsid w:val="000E658F"/>
    <w:rsid w:val="000E73D3"/>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E6E"/>
    <w:rsid w:val="00102F45"/>
    <w:rsid w:val="00103100"/>
    <w:rsid w:val="00103418"/>
    <w:rsid w:val="0010381B"/>
    <w:rsid w:val="00103BA8"/>
    <w:rsid w:val="00103FCF"/>
    <w:rsid w:val="00105152"/>
    <w:rsid w:val="00105249"/>
    <w:rsid w:val="00105C9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C83"/>
    <w:rsid w:val="00123401"/>
    <w:rsid w:val="00123453"/>
    <w:rsid w:val="00123497"/>
    <w:rsid w:val="00124438"/>
    <w:rsid w:val="001252F6"/>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07B"/>
    <w:rsid w:val="001437F5"/>
    <w:rsid w:val="001439B6"/>
    <w:rsid w:val="00144159"/>
    <w:rsid w:val="001443F7"/>
    <w:rsid w:val="0014460F"/>
    <w:rsid w:val="00144805"/>
    <w:rsid w:val="00145316"/>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0815"/>
    <w:rsid w:val="00191509"/>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27E"/>
    <w:rsid w:val="001C0373"/>
    <w:rsid w:val="001C1096"/>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637"/>
    <w:rsid w:val="001D77B0"/>
    <w:rsid w:val="001E1E5B"/>
    <w:rsid w:val="001E4B85"/>
    <w:rsid w:val="001E637E"/>
    <w:rsid w:val="001E6DC4"/>
    <w:rsid w:val="001E70C0"/>
    <w:rsid w:val="001E7AF4"/>
    <w:rsid w:val="001E7F83"/>
    <w:rsid w:val="001F0F87"/>
    <w:rsid w:val="001F202A"/>
    <w:rsid w:val="001F206B"/>
    <w:rsid w:val="001F2A90"/>
    <w:rsid w:val="001F3086"/>
    <w:rsid w:val="001F3207"/>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34B6"/>
    <w:rsid w:val="002142C6"/>
    <w:rsid w:val="002147D0"/>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47E7E"/>
    <w:rsid w:val="00250E84"/>
    <w:rsid w:val="00251239"/>
    <w:rsid w:val="00251C15"/>
    <w:rsid w:val="00252628"/>
    <w:rsid w:val="00252726"/>
    <w:rsid w:val="00255663"/>
    <w:rsid w:val="00256952"/>
    <w:rsid w:val="00256995"/>
    <w:rsid w:val="00256B76"/>
    <w:rsid w:val="00257034"/>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E2E"/>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271E"/>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B744E"/>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0EA"/>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288F"/>
    <w:rsid w:val="002F3863"/>
    <w:rsid w:val="002F3E06"/>
    <w:rsid w:val="002F48EE"/>
    <w:rsid w:val="002F4D9E"/>
    <w:rsid w:val="002F6382"/>
    <w:rsid w:val="002F6B88"/>
    <w:rsid w:val="002F6E8F"/>
    <w:rsid w:val="002F7A9B"/>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5E2"/>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4A8"/>
    <w:rsid w:val="0038095B"/>
    <w:rsid w:val="00381972"/>
    <w:rsid w:val="00383988"/>
    <w:rsid w:val="003850C2"/>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979B2"/>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B78F4"/>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87B"/>
    <w:rsid w:val="003F4936"/>
    <w:rsid w:val="003F4BE8"/>
    <w:rsid w:val="003F5707"/>
    <w:rsid w:val="003F5EE0"/>
    <w:rsid w:val="003F7351"/>
    <w:rsid w:val="003F7CA2"/>
    <w:rsid w:val="0040063B"/>
    <w:rsid w:val="004018A1"/>
    <w:rsid w:val="00401CD7"/>
    <w:rsid w:val="00401CF8"/>
    <w:rsid w:val="00401D41"/>
    <w:rsid w:val="004022E6"/>
    <w:rsid w:val="004025CA"/>
    <w:rsid w:val="00402994"/>
    <w:rsid w:val="00402B6B"/>
    <w:rsid w:val="0040316E"/>
    <w:rsid w:val="004034D3"/>
    <w:rsid w:val="00403711"/>
    <w:rsid w:val="00403FE6"/>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6296"/>
    <w:rsid w:val="0045716B"/>
    <w:rsid w:val="00457951"/>
    <w:rsid w:val="00461BBC"/>
    <w:rsid w:val="00462233"/>
    <w:rsid w:val="00462356"/>
    <w:rsid w:val="00462530"/>
    <w:rsid w:val="004628BB"/>
    <w:rsid w:val="0046327F"/>
    <w:rsid w:val="004640CB"/>
    <w:rsid w:val="004656DC"/>
    <w:rsid w:val="00465C79"/>
    <w:rsid w:val="00465CB8"/>
    <w:rsid w:val="0046611F"/>
    <w:rsid w:val="00466CAF"/>
    <w:rsid w:val="004675C4"/>
    <w:rsid w:val="00470FF5"/>
    <w:rsid w:val="004732B3"/>
    <w:rsid w:val="004741AA"/>
    <w:rsid w:val="004750D8"/>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3743"/>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508"/>
    <w:rsid w:val="0050362D"/>
    <w:rsid w:val="00504205"/>
    <w:rsid w:val="00505991"/>
    <w:rsid w:val="005061ED"/>
    <w:rsid w:val="005063F3"/>
    <w:rsid w:val="005072AC"/>
    <w:rsid w:val="00510D2A"/>
    <w:rsid w:val="00510E38"/>
    <w:rsid w:val="005117EB"/>
    <w:rsid w:val="00512F1A"/>
    <w:rsid w:val="00513046"/>
    <w:rsid w:val="0051331F"/>
    <w:rsid w:val="00513479"/>
    <w:rsid w:val="00513C78"/>
    <w:rsid w:val="0051424C"/>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58E8"/>
    <w:rsid w:val="005271FA"/>
    <w:rsid w:val="0053158C"/>
    <w:rsid w:val="005315A5"/>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73A0"/>
    <w:rsid w:val="00567781"/>
    <w:rsid w:val="00570B50"/>
    <w:rsid w:val="00570DA9"/>
    <w:rsid w:val="00571ED1"/>
    <w:rsid w:val="00572271"/>
    <w:rsid w:val="00572696"/>
    <w:rsid w:val="00573197"/>
    <w:rsid w:val="00573341"/>
    <w:rsid w:val="00573F95"/>
    <w:rsid w:val="00574224"/>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111"/>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1"/>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AA1"/>
    <w:rsid w:val="005D3C26"/>
    <w:rsid w:val="005D470E"/>
    <w:rsid w:val="005D5162"/>
    <w:rsid w:val="005D5646"/>
    <w:rsid w:val="005D6D69"/>
    <w:rsid w:val="005D7184"/>
    <w:rsid w:val="005E00E6"/>
    <w:rsid w:val="005E019C"/>
    <w:rsid w:val="005E0514"/>
    <w:rsid w:val="005E0854"/>
    <w:rsid w:val="005E1D0E"/>
    <w:rsid w:val="005E1D41"/>
    <w:rsid w:val="005E1E50"/>
    <w:rsid w:val="005E2C05"/>
    <w:rsid w:val="005E3028"/>
    <w:rsid w:val="005E32B7"/>
    <w:rsid w:val="005E34D2"/>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6978"/>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A6C"/>
    <w:rsid w:val="00627FDD"/>
    <w:rsid w:val="00630E3E"/>
    <w:rsid w:val="00630FA2"/>
    <w:rsid w:val="0063114E"/>
    <w:rsid w:val="00631AB4"/>
    <w:rsid w:val="00631F4A"/>
    <w:rsid w:val="0063214C"/>
    <w:rsid w:val="00632318"/>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5DE"/>
    <w:rsid w:val="0066099B"/>
    <w:rsid w:val="00661ABC"/>
    <w:rsid w:val="00661B0D"/>
    <w:rsid w:val="00661B4C"/>
    <w:rsid w:val="00663005"/>
    <w:rsid w:val="006634F5"/>
    <w:rsid w:val="0066362D"/>
    <w:rsid w:val="006637AE"/>
    <w:rsid w:val="006646F4"/>
    <w:rsid w:val="00664C81"/>
    <w:rsid w:val="0066520C"/>
    <w:rsid w:val="006655F9"/>
    <w:rsid w:val="006656D9"/>
    <w:rsid w:val="00665762"/>
    <w:rsid w:val="006664AE"/>
    <w:rsid w:val="00666E12"/>
    <w:rsid w:val="006712DD"/>
    <w:rsid w:val="006720D9"/>
    <w:rsid w:val="006723BA"/>
    <w:rsid w:val="0067380B"/>
    <w:rsid w:val="00675C98"/>
    <w:rsid w:val="006761FD"/>
    <w:rsid w:val="006770CF"/>
    <w:rsid w:val="006806DE"/>
    <w:rsid w:val="00680F50"/>
    <w:rsid w:val="0068301A"/>
    <w:rsid w:val="006835AA"/>
    <w:rsid w:val="00683AF0"/>
    <w:rsid w:val="00683FC6"/>
    <w:rsid w:val="006847F9"/>
    <w:rsid w:val="00684A8D"/>
    <w:rsid w:val="00685C5C"/>
    <w:rsid w:val="0068607B"/>
    <w:rsid w:val="00686081"/>
    <w:rsid w:val="006860AE"/>
    <w:rsid w:val="006861E9"/>
    <w:rsid w:val="006865ED"/>
    <w:rsid w:val="0068673C"/>
    <w:rsid w:val="0069002D"/>
    <w:rsid w:val="00691062"/>
    <w:rsid w:val="0069202C"/>
    <w:rsid w:val="006925AD"/>
    <w:rsid w:val="00692F3C"/>
    <w:rsid w:val="006936E9"/>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39B"/>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0778"/>
    <w:rsid w:val="00711159"/>
    <w:rsid w:val="00711BE4"/>
    <w:rsid w:val="00712392"/>
    <w:rsid w:val="00712506"/>
    <w:rsid w:val="007130BB"/>
    <w:rsid w:val="00714287"/>
    <w:rsid w:val="00714CF6"/>
    <w:rsid w:val="00715217"/>
    <w:rsid w:val="007166AF"/>
    <w:rsid w:val="00716E33"/>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110"/>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47"/>
    <w:rsid w:val="0078055B"/>
    <w:rsid w:val="00780773"/>
    <w:rsid w:val="0078081B"/>
    <w:rsid w:val="00780BFE"/>
    <w:rsid w:val="00780FAD"/>
    <w:rsid w:val="00781796"/>
    <w:rsid w:val="00781BF2"/>
    <w:rsid w:val="007846A3"/>
    <w:rsid w:val="007863D2"/>
    <w:rsid w:val="00786828"/>
    <w:rsid w:val="00786845"/>
    <w:rsid w:val="007870E4"/>
    <w:rsid w:val="00787CF6"/>
    <w:rsid w:val="00787F9E"/>
    <w:rsid w:val="00790FA6"/>
    <w:rsid w:val="0079115E"/>
    <w:rsid w:val="0079213E"/>
    <w:rsid w:val="00792498"/>
    <w:rsid w:val="00793338"/>
    <w:rsid w:val="007941B2"/>
    <w:rsid w:val="00795ACA"/>
    <w:rsid w:val="0079695D"/>
    <w:rsid w:val="00796A07"/>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665"/>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341"/>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347"/>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1A4F"/>
    <w:rsid w:val="008131BC"/>
    <w:rsid w:val="008136D5"/>
    <w:rsid w:val="008145CD"/>
    <w:rsid w:val="0081474E"/>
    <w:rsid w:val="008148E0"/>
    <w:rsid w:val="00814C8C"/>
    <w:rsid w:val="00814EED"/>
    <w:rsid w:val="00815517"/>
    <w:rsid w:val="00816581"/>
    <w:rsid w:val="00820416"/>
    <w:rsid w:val="008206FF"/>
    <w:rsid w:val="008217EC"/>
    <w:rsid w:val="00821C4D"/>
    <w:rsid w:val="00822B2B"/>
    <w:rsid w:val="008232D3"/>
    <w:rsid w:val="00823C53"/>
    <w:rsid w:val="00825ABA"/>
    <w:rsid w:val="008270E7"/>
    <w:rsid w:val="008273FD"/>
    <w:rsid w:val="00827B2C"/>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0B16"/>
    <w:rsid w:val="008510B2"/>
    <w:rsid w:val="0085152C"/>
    <w:rsid w:val="00851815"/>
    <w:rsid w:val="00852BB0"/>
    <w:rsid w:val="0085362D"/>
    <w:rsid w:val="00853799"/>
    <w:rsid w:val="00853F0D"/>
    <w:rsid w:val="00854720"/>
    <w:rsid w:val="00855EA8"/>
    <w:rsid w:val="00856921"/>
    <w:rsid w:val="00857023"/>
    <w:rsid w:val="00857692"/>
    <w:rsid w:val="00857770"/>
    <w:rsid w:val="0086068A"/>
    <w:rsid w:val="00860B45"/>
    <w:rsid w:val="00860FA4"/>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B95"/>
    <w:rsid w:val="00874D52"/>
    <w:rsid w:val="00875650"/>
    <w:rsid w:val="008756C3"/>
    <w:rsid w:val="0087600A"/>
    <w:rsid w:val="008760FC"/>
    <w:rsid w:val="008769FB"/>
    <w:rsid w:val="00876AE9"/>
    <w:rsid w:val="00880063"/>
    <w:rsid w:val="0088048D"/>
    <w:rsid w:val="0088177F"/>
    <w:rsid w:val="00881974"/>
    <w:rsid w:val="008820A9"/>
    <w:rsid w:val="008828B7"/>
    <w:rsid w:val="00882CC9"/>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4CF7"/>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91E"/>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12"/>
    <w:rsid w:val="00965FE1"/>
    <w:rsid w:val="00966096"/>
    <w:rsid w:val="00966441"/>
    <w:rsid w:val="00966E5B"/>
    <w:rsid w:val="00967240"/>
    <w:rsid w:val="009675C8"/>
    <w:rsid w:val="00970589"/>
    <w:rsid w:val="00970DDD"/>
    <w:rsid w:val="009714DE"/>
    <w:rsid w:val="0097158A"/>
    <w:rsid w:val="009718FF"/>
    <w:rsid w:val="009729BF"/>
    <w:rsid w:val="009731A1"/>
    <w:rsid w:val="00973DFB"/>
    <w:rsid w:val="00973FE5"/>
    <w:rsid w:val="0097442B"/>
    <w:rsid w:val="00980D66"/>
    <w:rsid w:val="0098123E"/>
    <w:rsid w:val="0098154E"/>
    <w:rsid w:val="00981B16"/>
    <w:rsid w:val="00982546"/>
    <w:rsid w:val="0098319B"/>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54E"/>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B74DA"/>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7DE"/>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327B"/>
    <w:rsid w:val="00A44684"/>
    <w:rsid w:val="00A44EAE"/>
    <w:rsid w:val="00A4519A"/>
    <w:rsid w:val="00A47724"/>
    <w:rsid w:val="00A479A5"/>
    <w:rsid w:val="00A47B03"/>
    <w:rsid w:val="00A47F71"/>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67EBC"/>
    <w:rsid w:val="00A704DB"/>
    <w:rsid w:val="00A705A6"/>
    <w:rsid w:val="00A7066A"/>
    <w:rsid w:val="00A7118A"/>
    <w:rsid w:val="00A717E6"/>
    <w:rsid w:val="00A71EF5"/>
    <w:rsid w:val="00A72652"/>
    <w:rsid w:val="00A73861"/>
    <w:rsid w:val="00A7576F"/>
    <w:rsid w:val="00A7661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0EB1"/>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2869"/>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1F37"/>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D45"/>
    <w:rsid w:val="00AD3F61"/>
    <w:rsid w:val="00AD4567"/>
    <w:rsid w:val="00AD4EE7"/>
    <w:rsid w:val="00AD6025"/>
    <w:rsid w:val="00AD7C7E"/>
    <w:rsid w:val="00AE077E"/>
    <w:rsid w:val="00AE08D8"/>
    <w:rsid w:val="00AE1056"/>
    <w:rsid w:val="00AE1A0C"/>
    <w:rsid w:val="00AE22E0"/>
    <w:rsid w:val="00AE236F"/>
    <w:rsid w:val="00AE2518"/>
    <w:rsid w:val="00AE25A3"/>
    <w:rsid w:val="00AE2D74"/>
    <w:rsid w:val="00AE3B21"/>
    <w:rsid w:val="00AE4297"/>
    <w:rsid w:val="00AE4A66"/>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0BF5"/>
    <w:rsid w:val="00B414BC"/>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7FD"/>
    <w:rsid w:val="00B56EA9"/>
    <w:rsid w:val="00B60279"/>
    <w:rsid w:val="00B60B7C"/>
    <w:rsid w:val="00B60F78"/>
    <w:rsid w:val="00B6181B"/>
    <w:rsid w:val="00B620EE"/>
    <w:rsid w:val="00B621E8"/>
    <w:rsid w:val="00B62A70"/>
    <w:rsid w:val="00B6358C"/>
    <w:rsid w:val="00B645D1"/>
    <w:rsid w:val="00B650AA"/>
    <w:rsid w:val="00B65203"/>
    <w:rsid w:val="00B65D17"/>
    <w:rsid w:val="00B65EAE"/>
    <w:rsid w:val="00B711A3"/>
    <w:rsid w:val="00B7264A"/>
    <w:rsid w:val="00B7335B"/>
    <w:rsid w:val="00B73415"/>
    <w:rsid w:val="00B73A3F"/>
    <w:rsid w:val="00B73BF6"/>
    <w:rsid w:val="00B744AC"/>
    <w:rsid w:val="00B7527A"/>
    <w:rsid w:val="00B75315"/>
    <w:rsid w:val="00B75729"/>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5E3F"/>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851"/>
    <w:rsid w:val="00BB4C45"/>
    <w:rsid w:val="00BB4E02"/>
    <w:rsid w:val="00BB51DA"/>
    <w:rsid w:val="00BB53F8"/>
    <w:rsid w:val="00BB644F"/>
    <w:rsid w:val="00BB6DA1"/>
    <w:rsid w:val="00BB771A"/>
    <w:rsid w:val="00BB7983"/>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3F81"/>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7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6BF"/>
    <w:rsid w:val="00C07ECF"/>
    <w:rsid w:val="00C10419"/>
    <w:rsid w:val="00C10CF0"/>
    <w:rsid w:val="00C115FB"/>
    <w:rsid w:val="00C13E72"/>
    <w:rsid w:val="00C140EC"/>
    <w:rsid w:val="00C15231"/>
    <w:rsid w:val="00C15788"/>
    <w:rsid w:val="00C16034"/>
    <w:rsid w:val="00C174C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2CB"/>
    <w:rsid w:val="00C27703"/>
    <w:rsid w:val="00C27A57"/>
    <w:rsid w:val="00C27C71"/>
    <w:rsid w:val="00C30522"/>
    <w:rsid w:val="00C307BF"/>
    <w:rsid w:val="00C307EA"/>
    <w:rsid w:val="00C31144"/>
    <w:rsid w:val="00C312CF"/>
    <w:rsid w:val="00C319B4"/>
    <w:rsid w:val="00C31C7B"/>
    <w:rsid w:val="00C31E51"/>
    <w:rsid w:val="00C31F3E"/>
    <w:rsid w:val="00C34AEB"/>
    <w:rsid w:val="00C35653"/>
    <w:rsid w:val="00C3656E"/>
    <w:rsid w:val="00C369B9"/>
    <w:rsid w:val="00C4160B"/>
    <w:rsid w:val="00C416E2"/>
    <w:rsid w:val="00C4206F"/>
    <w:rsid w:val="00C425B2"/>
    <w:rsid w:val="00C42741"/>
    <w:rsid w:val="00C427F6"/>
    <w:rsid w:val="00C42BCB"/>
    <w:rsid w:val="00C445BD"/>
    <w:rsid w:val="00C457FE"/>
    <w:rsid w:val="00C45E58"/>
    <w:rsid w:val="00C46AA5"/>
    <w:rsid w:val="00C46CD0"/>
    <w:rsid w:val="00C477FA"/>
    <w:rsid w:val="00C515C6"/>
    <w:rsid w:val="00C52524"/>
    <w:rsid w:val="00C53030"/>
    <w:rsid w:val="00C536F3"/>
    <w:rsid w:val="00C5432B"/>
    <w:rsid w:val="00C54618"/>
    <w:rsid w:val="00C54B1B"/>
    <w:rsid w:val="00C54D2A"/>
    <w:rsid w:val="00C55B31"/>
    <w:rsid w:val="00C55DB0"/>
    <w:rsid w:val="00C560CE"/>
    <w:rsid w:val="00C577FF"/>
    <w:rsid w:val="00C57B81"/>
    <w:rsid w:val="00C57E67"/>
    <w:rsid w:val="00C65807"/>
    <w:rsid w:val="00C65C4F"/>
    <w:rsid w:val="00C665BE"/>
    <w:rsid w:val="00C70D82"/>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771"/>
    <w:rsid w:val="00CC2E9A"/>
    <w:rsid w:val="00CC2F7B"/>
    <w:rsid w:val="00CC32B3"/>
    <w:rsid w:val="00CC3D05"/>
    <w:rsid w:val="00CC5CFD"/>
    <w:rsid w:val="00CC6852"/>
    <w:rsid w:val="00CD0245"/>
    <w:rsid w:val="00CD11BB"/>
    <w:rsid w:val="00CD2786"/>
    <w:rsid w:val="00CD2B07"/>
    <w:rsid w:val="00CD313C"/>
    <w:rsid w:val="00CD3F85"/>
    <w:rsid w:val="00CD4EF2"/>
    <w:rsid w:val="00CD7218"/>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042"/>
    <w:rsid w:val="00CF76BD"/>
    <w:rsid w:val="00CF7719"/>
    <w:rsid w:val="00D0006E"/>
    <w:rsid w:val="00D007C0"/>
    <w:rsid w:val="00D0102F"/>
    <w:rsid w:val="00D03615"/>
    <w:rsid w:val="00D03846"/>
    <w:rsid w:val="00D03DCC"/>
    <w:rsid w:val="00D042B4"/>
    <w:rsid w:val="00D048FB"/>
    <w:rsid w:val="00D05E70"/>
    <w:rsid w:val="00D0699D"/>
    <w:rsid w:val="00D06EBC"/>
    <w:rsid w:val="00D072D1"/>
    <w:rsid w:val="00D07687"/>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64C"/>
    <w:rsid w:val="00D36765"/>
    <w:rsid w:val="00D3754F"/>
    <w:rsid w:val="00D37675"/>
    <w:rsid w:val="00D378DB"/>
    <w:rsid w:val="00D37FB1"/>
    <w:rsid w:val="00D408A5"/>
    <w:rsid w:val="00D40BBC"/>
    <w:rsid w:val="00D40FB9"/>
    <w:rsid w:val="00D4187F"/>
    <w:rsid w:val="00D41E09"/>
    <w:rsid w:val="00D424EC"/>
    <w:rsid w:val="00D42C23"/>
    <w:rsid w:val="00D43803"/>
    <w:rsid w:val="00D44B91"/>
    <w:rsid w:val="00D44E31"/>
    <w:rsid w:val="00D45924"/>
    <w:rsid w:val="00D45957"/>
    <w:rsid w:val="00D46DCA"/>
    <w:rsid w:val="00D47852"/>
    <w:rsid w:val="00D47A7C"/>
    <w:rsid w:val="00D51008"/>
    <w:rsid w:val="00D51CF6"/>
    <w:rsid w:val="00D528CE"/>
    <w:rsid w:val="00D53974"/>
    <w:rsid w:val="00D5412C"/>
    <w:rsid w:val="00D547E2"/>
    <w:rsid w:val="00D556B1"/>
    <w:rsid w:val="00D55DD7"/>
    <w:rsid w:val="00D563A0"/>
    <w:rsid w:val="00D60026"/>
    <w:rsid w:val="00D60035"/>
    <w:rsid w:val="00D601EB"/>
    <w:rsid w:val="00D60564"/>
    <w:rsid w:val="00D617EB"/>
    <w:rsid w:val="00D61FEA"/>
    <w:rsid w:val="00D6254C"/>
    <w:rsid w:val="00D62F45"/>
    <w:rsid w:val="00D63D64"/>
    <w:rsid w:val="00D64B74"/>
    <w:rsid w:val="00D652E3"/>
    <w:rsid w:val="00D659A7"/>
    <w:rsid w:val="00D65C81"/>
    <w:rsid w:val="00D673D4"/>
    <w:rsid w:val="00D67D99"/>
    <w:rsid w:val="00D710F7"/>
    <w:rsid w:val="00D7169C"/>
    <w:rsid w:val="00D71AA3"/>
    <w:rsid w:val="00D724C8"/>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2C74"/>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011F"/>
    <w:rsid w:val="00DC1236"/>
    <w:rsid w:val="00DC17E5"/>
    <w:rsid w:val="00DC1CA6"/>
    <w:rsid w:val="00DC1EC2"/>
    <w:rsid w:val="00DC234B"/>
    <w:rsid w:val="00DC35CE"/>
    <w:rsid w:val="00DC38FA"/>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2516"/>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743"/>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6E15"/>
    <w:rsid w:val="00E47044"/>
    <w:rsid w:val="00E47454"/>
    <w:rsid w:val="00E50687"/>
    <w:rsid w:val="00E50C89"/>
    <w:rsid w:val="00E515A4"/>
    <w:rsid w:val="00E51ACD"/>
    <w:rsid w:val="00E555D4"/>
    <w:rsid w:val="00E576DB"/>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B84"/>
    <w:rsid w:val="00E74F01"/>
    <w:rsid w:val="00E74F8A"/>
    <w:rsid w:val="00E75025"/>
    <w:rsid w:val="00E76677"/>
    <w:rsid w:val="00E76B0E"/>
    <w:rsid w:val="00E76F55"/>
    <w:rsid w:val="00E77188"/>
    <w:rsid w:val="00E80502"/>
    <w:rsid w:val="00E815A1"/>
    <w:rsid w:val="00E8243E"/>
    <w:rsid w:val="00E82589"/>
    <w:rsid w:val="00E8270D"/>
    <w:rsid w:val="00E82A0D"/>
    <w:rsid w:val="00E83934"/>
    <w:rsid w:val="00E83B07"/>
    <w:rsid w:val="00E83C0A"/>
    <w:rsid w:val="00E840C9"/>
    <w:rsid w:val="00E84994"/>
    <w:rsid w:val="00E84D76"/>
    <w:rsid w:val="00E856E4"/>
    <w:rsid w:val="00E85AB9"/>
    <w:rsid w:val="00E863EF"/>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0A6"/>
    <w:rsid w:val="00EA3318"/>
    <w:rsid w:val="00EA393A"/>
    <w:rsid w:val="00EA3B92"/>
    <w:rsid w:val="00EA425F"/>
    <w:rsid w:val="00EA45C4"/>
    <w:rsid w:val="00EA47BF"/>
    <w:rsid w:val="00EA4BE5"/>
    <w:rsid w:val="00EA557E"/>
    <w:rsid w:val="00EA58BA"/>
    <w:rsid w:val="00EA59E6"/>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6573"/>
    <w:rsid w:val="00EE7DF4"/>
    <w:rsid w:val="00EE7F31"/>
    <w:rsid w:val="00EE7F99"/>
    <w:rsid w:val="00EF0673"/>
    <w:rsid w:val="00EF0A3B"/>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AF2"/>
    <w:rsid w:val="00F12B7C"/>
    <w:rsid w:val="00F12B7F"/>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5ADA"/>
    <w:rsid w:val="00F4627C"/>
    <w:rsid w:val="00F473D3"/>
    <w:rsid w:val="00F501E1"/>
    <w:rsid w:val="00F50470"/>
    <w:rsid w:val="00F50F4A"/>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8A5"/>
    <w:rsid w:val="00F91D30"/>
    <w:rsid w:val="00F92352"/>
    <w:rsid w:val="00F931FF"/>
    <w:rsid w:val="00F93257"/>
    <w:rsid w:val="00F93758"/>
    <w:rsid w:val="00F96211"/>
    <w:rsid w:val="00F96643"/>
    <w:rsid w:val="00F96727"/>
    <w:rsid w:val="00F9786F"/>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0144"/>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E7D8D"/>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DE74B789-FB8A-4180-BBCB-1515066C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qFormat/>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MTEquationSection">
    <w:name w:val="MTEquationSection"/>
    <w:basedOn w:val="Policepardfaut"/>
    <w:rsid w:val="00124438"/>
    <w:rPr>
      <w:rFonts w:asciiTheme="majorHAnsi" w:hAnsiTheme="majorHAnsi" w:cstheme="majorHAnsi"/>
      <w:b/>
      <w:vanish/>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1654570">
      <w:bodyDiv w:val="1"/>
      <w:marLeft w:val="0"/>
      <w:marRight w:val="0"/>
      <w:marTop w:val="0"/>
      <w:marBottom w:val="0"/>
      <w:divBdr>
        <w:top w:val="none" w:sz="0" w:space="0" w:color="auto"/>
        <w:left w:val="none" w:sz="0" w:space="0" w:color="auto"/>
        <w:bottom w:val="none" w:sz="0" w:space="0" w:color="auto"/>
        <w:right w:val="none" w:sz="0" w:space="0" w:color="auto"/>
      </w:divBdr>
      <w:divsChild>
        <w:div w:id="1643193898">
          <w:marLeft w:val="0"/>
          <w:marRight w:val="0"/>
          <w:marTop w:val="0"/>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7063083">
      <w:bodyDiv w:val="1"/>
      <w:marLeft w:val="0"/>
      <w:marRight w:val="0"/>
      <w:marTop w:val="0"/>
      <w:marBottom w:val="0"/>
      <w:divBdr>
        <w:top w:val="none" w:sz="0" w:space="0" w:color="auto"/>
        <w:left w:val="none" w:sz="0" w:space="0" w:color="auto"/>
        <w:bottom w:val="none" w:sz="0" w:space="0" w:color="auto"/>
        <w:right w:val="none" w:sz="0" w:space="0" w:color="auto"/>
      </w:divBdr>
      <w:divsChild>
        <w:div w:id="748039332">
          <w:marLeft w:val="0"/>
          <w:marRight w:val="0"/>
          <w:marTop w:val="0"/>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659807">
      <w:bodyDiv w:val="1"/>
      <w:marLeft w:val="0"/>
      <w:marRight w:val="0"/>
      <w:marTop w:val="0"/>
      <w:marBottom w:val="0"/>
      <w:divBdr>
        <w:top w:val="none" w:sz="0" w:space="0" w:color="auto"/>
        <w:left w:val="none" w:sz="0" w:space="0" w:color="auto"/>
        <w:bottom w:val="none" w:sz="0" w:space="0" w:color="auto"/>
        <w:right w:val="none" w:sz="0" w:space="0" w:color="auto"/>
      </w:divBdr>
      <w:divsChild>
        <w:div w:id="7803143">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7557640">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3.wmf"/><Relationship Id="rId41"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png"/><Relationship Id="rId40"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B61FE7C-D27E-4BF8-9EFD-3862077C2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10</Pages>
  <Words>3000</Words>
  <Characters>16502</Characters>
  <Application>Microsoft Office Word</Application>
  <DocSecurity>0</DocSecurity>
  <Lines>137</Lines>
  <Paragraphs>38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19464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15</cp:revision>
  <cp:lastPrinted>2016-08-10T06:06:00Z</cp:lastPrinted>
  <dcterms:created xsi:type="dcterms:W3CDTF">2018-02-14T11:10:00Z</dcterms:created>
  <dcterms:modified xsi:type="dcterms:W3CDTF">2018-04-03T13:46:00Z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